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43A" w:rsidRPr="00C210B7" w:rsidRDefault="006455FD" w:rsidP="005D25FE">
      <w:pPr>
        <w:pStyle w:val="Ttulo1"/>
        <w:spacing w:before="0"/>
        <w:jc w:val="both"/>
        <w:rPr>
          <w:rFonts w:ascii="Tahoma" w:hAnsi="Tahoma" w:cs="Tahoma"/>
          <w:b/>
          <w:lang w:val="es-ES"/>
        </w:rPr>
      </w:pPr>
      <w:bookmarkStart w:id="0" w:name="_GoBack"/>
      <w:bookmarkEnd w:id="0"/>
      <w:r w:rsidRPr="00C210B7">
        <w:rPr>
          <w:rFonts w:ascii="Tahoma" w:hAnsi="Tahoma" w:cs="Tahoma"/>
          <w:i w:val="0"/>
          <w:noProof/>
          <w:lang w:val="es-EC" w:eastAsia="es-EC"/>
        </w:rPr>
        <w:drawing>
          <wp:anchor distT="0" distB="0" distL="114300" distR="114300" simplePos="0" relativeHeight="251670528" behindDoc="1" locked="0" layoutInCell="1" allowOverlap="1" wp14:anchorId="23391C65" wp14:editId="61031E7D">
            <wp:simplePos x="0" y="0"/>
            <wp:positionH relativeFrom="column">
              <wp:posOffset>4968240</wp:posOffset>
            </wp:positionH>
            <wp:positionV relativeFrom="paragraph">
              <wp:posOffset>-1625600</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C210B7">
        <w:rPr>
          <w:rFonts w:ascii="Tahoma" w:hAnsi="Tahoma" w:cs="Tahoma"/>
          <w:i w:val="0"/>
          <w:noProof/>
          <w:lang w:val="es-EC" w:eastAsia="es-EC"/>
        </w:rPr>
        <mc:AlternateContent>
          <mc:Choice Requires="wps">
            <w:drawing>
              <wp:anchor distT="0" distB="0" distL="114300" distR="114300" simplePos="0" relativeHeight="251669504" behindDoc="0" locked="0" layoutInCell="1" allowOverlap="1" wp14:anchorId="2DF56C74" wp14:editId="3B4E6121">
                <wp:simplePos x="0" y="0"/>
                <wp:positionH relativeFrom="column">
                  <wp:posOffset>3725545</wp:posOffset>
                </wp:positionH>
                <wp:positionV relativeFrom="paragraph">
                  <wp:posOffset>-1060450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C210B7">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3</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293.35pt;margin-top:-83.5pt;width:229.15pt;height:6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" filled="f" stroked="f">
                <v:textbo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C210B7">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3</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00FE0A40" w:rsidRPr="00C210B7">
        <w:rPr>
          <w:rFonts w:ascii="Tahoma" w:hAnsi="Tahoma" w:cs="Tahoma"/>
          <w:i w:val="0"/>
          <w:noProof/>
          <w:lang w:val="es-EC" w:eastAsia="es-EC"/>
        </w:rPr>
        <mc:AlternateContent>
          <mc:Choice Requires="wps">
            <w:drawing>
              <wp:anchor distT="0" distB="0" distL="114300" distR="114300" simplePos="0" relativeHeight="251659264" behindDoc="1" locked="0" layoutInCell="1" allowOverlap="1" wp14:anchorId="0FD720CE" wp14:editId="4B124A10">
                <wp:simplePos x="0" y="0"/>
                <wp:positionH relativeFrom="margin">
                  <wp:align>center</wp:align>
                </wp:positionH>
                <wp:positionV relativeFrom="topMargin">
                  <wp:posOffset>678815</wp:posOffset>
                </wp:positionV>
                <wp:extent cx="6743700" cy="885825"/>
                <wp:effectExtent l="95250" t="38100" r="97790" b="161925"/>
                <wp:wrapNone/>
                <wp:docPr id="1" name="Rectangle 1"/>
                <wp:cNvGraphicFramePr/>
                <a:graphic xmlns:a="http://schemas.openxmlformats.org/drawingml/2006/main">
                  <a:graphicData uri="http://schemas.microsoft.com/office/word/2010/wordprocessingShape">
                    <wps:wsp>
                      <wps:cNvSpPr/>
                      <wps:spPr>
                        <a:xfrm>
                          <a:off x="0" y="0"/>
                          <a:ext cx="6743700" cy="885825"/>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105000</wp14:pctWidth>
                </wp14:sizeRelH>
                <wp14:sizeRelV relativeFrom="topMargin">
                  <wp14:pctHeight>0</wp14:pctHeight>
                </wp14:sizeRelV>
              </wp:anchor>
            </w:drawing>
          </mc:Choice>
          <mc:Fallback>
            <w:pict>
              <v:rect id="Rectangle 1" o:spid="_x0000_s1027" style="position:absolute;left:0;text-align:left;margin-left:0;margin-top:53.45pt;width:531pt;height:69.75pt;z-index:-251657216;visibility:visible;mso-wrap-style:square;mso-width-percent:1050;mso-height-percent:0;mso-wrap-distance-left:9pt;mso-wrap-distance-top:0;mso-wrap-distance-right:9pt;mso-wrap-distance-bottom:0;mso-position-horizontal:center;mso-position-horizontal-relative:margin;mso-position-vertical:absolute;mso-position-vertical-relative:top-margin-area;mso-width-percent:105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" stroked="f" strokeweight="2.25pt">
                <v:fill r:id="rId9" o:title="" recolor="t" rotate="t" type="tile"/>
                <v:imagedata recolortarget="#325ea2 [3058]"/>
                <v:shadow on="t" color="black" opacity=".25" origin=",-.5" offset="0,4pt"/>
                <v:textbox inset=",14.4pt">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v:textbox>
                <w10:wrap anchorx="margin" anchory="margin"/>
              </v:rect>
            </w:pict>
          </mc:Fallback>
        </mc:AlternateContent>
      </w:r>
      <w:r w:rsidR="00C210B7">
        <w:rPr>
          <w:rFonts w:ascii="Tahoma" w:hAnsi="Tahoma" w:cs="Tahoma"/>
          <w:b/>
          <w:i w:val="0"/>
          <w:lang w:val="es-ES"/>
        </w:rPr>
        <w:t>N</w:t>
      </w:r>
      <w:r w:rsidR="00C210B7" w:rsidRPr="00C210B7">
        <w:rPr>
          <w:rFonts w:ascii="Tahoma" w:hAnsi="Tahoma" w:cs="Tahoma"/>
          <w:b/>
          <w:i w:val="0"/>
          <w:lang w:val="es-ES"/>
        </w:rPr>
        <w:t>ormas que establecen las condiciones, plazos y las excepciones para informar la composición societaria, y apruébese el "Anexo de Accionistas, Partícipes, Socios, Miembros de Directorio y Administradores" y su contenido.</w:t>
      </w:r>
    </w:p>
    <w:p w:rsidR="004B343A" w:rsidRPr="004B343A" w:rsidRDefault="004B343A" w:rsidP="004B343A">
      <w:pPr>
        <w:rPr>
          <w:sz w:val="2"/>
          <w:lang w:val="es-ES"/>
        </w:rPr>
      </w:pPr>
    </w:p>
    <w:p w:rsidR="004B343A" w:rsidRPr="00C527C1" w:rsidRDefault="00C210B7" w:rsidP="00C527C1">
      <w:pPr>
        <w:pBdr>
          <w:top w:val="single" w:sz="4" w:space="1" w:color="auto"/>
          <w:left w:val="single" w:sz="4" w:space="4" w:color="auto"/>
          <w:bottom w:val="single" w:sz="4" w:space="1" w:color="auto"/>
          <w:right w:val="single" w:sz="4" w:space="4" w:color="auto"/>
        </w:pBdr>
        <w:shd w:val="clear" w:color="auto" w:fill="2C395D" w:themeFill="accent1" w:themeFillShade="80"/>
        <w:rPr>
          <w:rFonts w:ascii="Arial" w:hAnsi="Arial" w:cs="Arial"/>
          <w:b/>
          <w:i/>
          <w:color w:val="FFFFFF" w:themeColor="background1"/>
          <w:sz w:val="24"/>
          <w:szCs w:val="24"/>
          <w:lang w:val="es-ES"/>
        </w:rPr>
      </w:pPr>
      <w:r>
        <w:rPr>
          <w:rFonts w:ascii="Arial" w:hAnsi="Arial" w:cs="Arial"/>
          <w:b/>
          <w:i/>
          <w:color w:val="FFFFFF" w:themeColor="background1"/>
          <w:sz w:val="24"/>
          <w:szCs w:val="24"/>
          <w:lang w:val="es-ES"/>
        </w:rPr>
        <w:t>Registro Oficial 665 del 08 de enero del 2016</w:t>
      </w:r>
    </w:p>
    <w:p w:rsidR="007870A9" w:rsidRPr="00C527C1" w:rsidRDefault="00C210B7" w:rsidP="00C210B7">
      <w:pPr>
        <w:pStyle w:val="Subttulo"/>
        <w:tabs>
          <w:tab w:val="left" w:pos="10065"/>
        </w:tabs>
        <w:spacing w:after="0" w:line="240" w:lineRule="auto"/>
        <w:jc w:val="both"/>
        <w:rPr>
          <w:rFonts w:ascii="Arial" w:hAnsi="Arial" w:cs="Arial"/>
          <w:lang w:val="es-ES"/>
        </w:rPr>
      </w:pPr>
      <w:r w:rsidRPr="002A7BD6">
        <w:rPr>
          <w:rFonts w:ascii="Arial" w:hAnsi="Arial" w:cs="Arial"/>
          <w:noProof/>
          <w:sz w:val="18"/>
          <w:szCs w:val="18"/>
          <w:lang w:val="es-EC" w:eastAsia="es-EC"/>
        </w:rPr>
        <w:drawing>
          <wp:anchor distT="0" distB="0" distL="114300" distR="114300" simplePos="0" relativeHeight="251686912" behindDoc="0" locked="0" layoutInCell="1" allowOverlap="1" wp14:anchorId="1365825B" wp14:editId="384699FA">
            <wp:simplePos x="0" y="0"/>
            <wp:positionH relativeFrom="margin">
              <wp:posOffset>3729990</wp:posOffset>
            </wp:positionH>
            <wp:positionV relativeFrom="paragraph">
              <wp:posOffset>673100</wp:posOffset>
            </wp:positionV>
            <wp:extent cx="2581275" cy="2038350"/>
            <wp:effectExtent l="0" t="0" r="9525" b="0"/>
            <wp:wrapSquare wrapText="bothSides"/>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ortante11[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81275" cy="2038350"/>
                    </a:xfrm>
                    <a:prstGeom prst="rect">
                      <a:avLst/>
                    </a:prstGeom>
                  </pic:spPr>
                </pic:pic>
              </a:graphicData>
            </a:graphic>
            <wp14:sizeRelH relativeFrom="margin">
              <wp14:pctWidth>0</wp14:pctWidth>
            </wp14:sizeRelH>
            <wp14:sizeRelV relativeFrom="margin">
              <wp14:pctHeight>0</wp14:pctHeight>
            </wp14:sizeRelV>
          </wp:anchor>
        </w:drawing>
      </w:r>
      <w:r w:rsidRPr="00C210B7">
        <w:rPr>
          <w:rFonts w:ascii="Arial" w:hAnsi="Arial" w:cs="Arial"/>
          <w:b/>
          <w:lang w:val="es-EC"/>
        </w:rPr>
        <w:t>NAC-DGERCGC15-00003236:</w:t>
      </w:r>
      <w:r w:rsidRPr="00C210B7">
        <w:rPr>
          <w:rFonts w:ascii="Arial" w:hAnsi="Arial" w:cs="Arial"/>
          <w:lang w:val="es-EC"/>
        </w:rPr>
        <w:t xml:space="preserve"> Se expiden las normas que establecen las condiciones, plazos y las excepciones para informar la composición societaria, y apruébese el "Anexo de Accionistas, Partícipes, Socios, Miembros de Directorio y Administradores" y su contenido</w:t>
      </w:r>
      <w:r>
        <w:rPr>
          <w:rFonts w:ascii="Arial" w:hAnsi="Arial" w:cs="Arial"/>
          <w:lang w:val="es-EC"/>
        </w:rPr>
        <w:t>.</w:t>
      </w:r>
      <w:r w:rsidR="00FE0A40" w:rsidRPr="00C527C1">
        <w:rPr>
          <w:rFonts w:ascii="Arial" w:hAnsi="Arial" w:cs="Arial"/>
          <w:lang w:val="es-ES"/>
        </w:rPr>
        <w:t xml:space="preserve"> </w:t>
      </w:r>
      <w:r w:rsidR="00E64237" w:rsidRPr="00C527C1">
        <w:rPr>
          <w:rFonts w:ascii="Arial" w:hAnsi="Arial" w:cs="Arial"/>
          <w:lang w:val="es-ES"/>
        </w:rPr>
        <w:t xml:space="preserve"> </w:t>
      </w:r>
    </w:p>
    <w:p w:rsidR="007870A9" w:rsidRPr="002A7BD6" w:rsidRDefault="007870A9">
      <w:pPr>
        <w:pStyle w:val="Subttulo"/>
        <w:rPr>
          <w:sz w:val="2"/>
          <w:lang w:val="es-ES"/>
        </w:rPr>
      </w:pPr>
    </w:p>
    <w:p w:rsidR="00C527C1" w:rsidRPr="002A7BD6" w:rsidRDefault="00C527C1" w:rsidP="00C527C1">
      <w:pPr>
        <w:rPr>
          <w:sz w:val="2"/>
          <w:lang w:val="es-ES"/>
        </w:rPr>
        <w:sectPr w:rsidR="00C527C1" w:rsidRPr="002A7BD6" w:rsidSect="006455FD">
          <w:type w:val="continuous"/>
          <w:pgSz w:w="12240" w:h="15840"/>
          <w:pgMar w:top="2977" w:right="936" w:bottom="936" w:left="936" w:header="720" w:footer="720" w:gutter="0"/>
          <w:cols w:space="720"/>
          <w:docGrid w:linePitch="360"/>
        </w:sectPr>
      </w:pPr>
    </w:p>
    <w:p w:rsidR="007E04AF" w:rsidRDefault="00C210B7" w:rsidP="007E04AF">
      <w:pPr>
        <w:jc w:val="center"/>
        <w:rPr>
          <w:rFonts w:ascii="Arial" w:hAnsi="Arial" w:cs="Arial"/>
          <w:b/>
          <w:bCs/>
          <w:sz w:val="16"/>
          <w:szCs w:val="16"/>
          <w:lang w:val="es-ES"/>
        </w:rPr>
      </w:pPr>
      <w:r w:rsidRPr="00C210B7">
        <w:rPr>
          <w:rFonts w:ascii="Arial" w:hAnsi="Arial" w:cs="Arial"/>
          <w:b/>
          <w:bCs/>
          <w:sz w:val="16"/>
          <w:szCs w:val="16"/>
          <w:lang w:val="es-ES"/>
        </w:rPr>
        <w:lastRenderedPageBreak/>
        <w:t>Considerando: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 Su gestión estará sujeta a las disposiciones de la citada Ley, del Código Tributario, de la Ley de Régimen Tributario Interno y de las demás leyes y reglamentos que fueren aplicables y su autonomía concierne a los órdenes administrativo, financiero y operativo;</w:t>
      </w:r>
      <w:r w:rsidRPr="00C210B7">
        <w:rPr>
          <w:rFonts w:ascii="Arial" w:hAnsi="Arial" w:cs="Arial"/>
          <w:sz w:val="16"/>
          <w:szCs w:val="16"/>
          <w:lang w:val="es-ES"/>
        </w:rPr>
        <w:br/>
      </w:r>
      <w:r w:rsidRPr="00C210B7">
        <w:rPr>
          <w:rFonts w:ascii="Arial" w:hAnsi="Arial" w:cs="Arial"/>
          <w:sz w:val="16"/>
          <w:szCs w:val="16"/>
          <w:lang w:val="es-ES"/>
        </w:rPr>
        <w:br/>
        <w:t>Que de acuerdo a lo establecido en el artículo 7 del Código Tributario, en concordancia con el artículo 8 de la Ley de Creación del Servicio de Rentas Internas, es facultad del Director o Directora General del Servicio de Rentas Internas expedir las resoluciones, circulares o disposiciones de carácter general y obligatorio necesarias para la aplicación de las normas legales y reglamentarias;</w:t>
      </w:r>
      <w:r w:rsidRPr="00C210B7">
        <w:rPr>
          <w:rFonts w:ascii="Arial" w:hAnsi="Arial" w:cs="Arial"/>
          <w:sz w:val="16"/>
          <w:szCs w:val="16"/>
          <w:lang w:val="es-ES"/>
        </w:rPr>
        <w:br/>
      </w:r>
      <w:r w:rsidRPr="00C210B7">
        <w:rPr>
          <w:rFonts w:ascii="Arial" w:hAnsi="Arial" w:cs="Arial"/>
          <w:sz w:val="16"/>
          <w:szCs w:val="16"/>
          <w:lang w:val="es-ES"/>
        </w:rPr>
        <w:br/>
        <w:t>Que la Convención de las Naciones Unidas Contra la Corrupción, ratificada por el Estado Ecuatoriano y publicada en el Suplemento del Registro Oficial No. 166, de fecha 15 de diciembre del 2005, tiene como primordial objetivo el fortalecimiento de políticas anticorrupción, tanto del sector público como del privado; y, que en su artículo 12, recomienda a cada Estado Parte adoptar medidas para prevenir la corrupción y mejorar la auditoría del sector privado, entre ellas, promover la transparencia entre entidades privadas, incluidas, cuando proceda, medidas relativas a la identidad de las personas jurídicas y naturales involucradas en el establecimiento y la gestión de empresas;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Que el artículo 37 de la Ley de Régimen Tributario Interno señala que los ingresos gravables obtenidos por sociedades constituidas en el Ecuador, así como, por las sucursales de sociedades extranjeras domiciliadas en el país y los establecimientos permanentes de sociedades extranjeras no domiciliadas, aplicarán la tarifa del 22% sobre su base imponible. No obstante, la tarifa impositiva será del 25% cuando la sociedad tenga accionistas, socios, partícipes, constituyentes, beneficiarios o similares, residentes o establecidos en paraísos fiscales o regímenes de menor imposición, con una participación directa o indirecta, individual o conjunta, igual o superior al 50%) del capital social o de aquel que corresponda a la naturaleza de la sociedad. Cuando la </w:t>
      </w:r>
      <w:r w:rsidRPr="00C210B7">
        <w:rPr>
          <w:rFonts w:ascii="Arial" w:hAnsi="Arial" w:cs="Arial"/>
          <w:sz w:val="16"/>
          <w:szCs w:val="16"/>
          <w:lang w:val="es-ES"/>
        </w:rPr>
        <w:lastRenderedPageBreak/>
        <w:t>mencionada participación de paraísos fiscales o regímenes de menor imposición sea inferior al 50%, la tarifa de 25% aplicará sobre la proporción de la base imponible que corresponda a dicha participación;</w:t>
      </w:r>
      <w:r w:rsidRPr="00C210B7">
        <w:rPr>
          <w:rFonts w:ascii="Arial" w:hAnsi="Arial" w:cs="Arial"/>
          <w:sz w:val="16"/>
          <w:szCs w:val="16"/>
          <w:lang w:val="es-ES"/>
        </w:rPr>
        <w:br/>
      </w:r>
      <w:r w:rsidRPr="00C210B7">
        <w:rPr>
          <w:rFonts w:ascii="Arial" w:hAnsi="Arial" w:cs="Arial"/>
          <w:sz w:val="16"/>
          <w:szCs w:val="16"/>
          <w:lang w:val="es-ES"/>
        </w:rPr>
        <w:br/>
        <w:t>Que el artículo 98 de la Ley de Régimen Tributario Interno dispone que el término sociedad comprende la persona jurídica, la sociedad de hecho, el fideicomiso mercantil y los patrimonios independientes o autónomos dotados o no de personería jurídica, salvo los constituidos por las instituciones del Estado, siempre y cuando los beneficiarios sean dichas instituciones;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106 de la Ley de Régimen Tributario Interno, dispone que para la información requerida por la Administración Tributaria no habrá reserva ni sigilo que le sea oponible y será entregada directamente, sin que se requiera trámite previo o intermediación, cualquiera que éste sea, ante autoridad alguna;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Que el artículo </w:t>
      </w:r>
      <w:proofErr w:type="spellStart"/>
      <w:r w:rsidRPr="00C210B7">
        <w:rPr>
          <w:rFonts w:ascii="Arial" w:hAnsi="Arial" w:cs="Arial"/>
          <w:sz w:val="16"/>
          <w:szCs w:val="16"/>
          <w:lang w:val="es-ES"/>
        </w:rPr>
        <w:t>innumerado</w:t>
      </w:r>
      <w:proofErr w:type="spellEnd"/>
      <w:r w:rsidRPr="00C210B7">
        <w:rPr>
          <w:rFonts w:ascii="Arial" w:hAnsi="Arial" w:cs="Arial"/>
          <w:sz w:val="16"/>
          <w:szCs w:val="16"/>
          <w:lang w:val="es-ES"/>
        </w:rPr>
        <w:t xml:space="preserve"> agregado a continuación del artículo 7 del Reglamento para la aplicación de la Ley de Régimen Tributario Interno prevé que para efectos tributarios se entenderán como derechos representativos de capital a los títulos o derechos de propiedad respecto de cualquier tipo de entidad, patrimonio o el que corresponda de acuerdo a la naturaleza de la sociedad, apreciables monetariamente, tales como acciones, participaciones, derechos fiduciarios, entre otros. Así también, se entenderá como titular o beneficiario del derecho representativo de capital a todo accionista, socio, partícipe, beneficiario o similar, según corresponda, sea de manera directa o indirecta. Además, se entenderá como composición societaria a la participación directa o indirecta que los titulares de derechos representativos de capital tengan en el capital social o en aquel que corresponda a la naturaleza de la sociedad;</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t>Que el artículo 51 del Reglamento para la aplicación de la Ley de Régimen Tributario Interno, dispone que la tarifa del impuesto a la renta se determinará por la composición societaria correspondiente a paraísos fiscales o regímenes de menor imposición que la sociedad tenga durante el periodo fiscal. Para establecer esta composición se la deberá considerar al 31 de diciembre de cada año; así cuando la composición societaria correspondiente a paraísos fiscales o regímenes de menor imposición sea inferior al 50%, la tarifa se aplicará de la siguiente forma: a) Al porcentaje de la composición societaria correspondiente a paraísos fiscales o regímenes de menor imposición se le multiplicará por la base imponible, a este resultado se aplicará la tarifa del 25% del impuesto a la renta; y, b) Al porcentaje de la composición restante se le multiplicará por la base imponible, a este resultado se aplicará la tarifa del 22% del impuesto a la renta. Como consecuencia, el impuesto a la renta de la sociedad será la sumatoria del resultado de los literales anteriores;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t>Que el segundo inciso del artículo 37 de la Ley de Régimen Tributario Interno señala que aplicará la tarifa del 25% a toda la base imponible de la sociedad que incumpla el deber de informar sobre la participación de sus accionistas, socios, participes, constituyentes, beneficiarios o similares, conforme lo que establezca el reglamento a esa Ley y las resoluciones que emita el Servicio de Rentas Internas; sin perjuicio de otras sanciones que fueren aplicables;</w:t>
      </w:r>
      <w:r w:rsidRPr="00C210B7">
        <w:rPr>
          <w:rFonts w:ascii="Arial" w:hAnsi="Arial" w:cs="Arial"/>
          <w:sz w:val="16"/>
          <w:szCs w:val="16"/>
          <w:lang w:val="es-ES"/>
        </w:rPr>
        <w:br/>
      </w:r>
      <w:r w:rsidRPr="00C210B7">
        <w:rPr>
          <w:rFonts w:ascii="Arial" w:hAnsi="Arial" w:cs="Arial"/>
          <w:sz w:val="16"/>
          <w:szCs w:val="16"/>
          <w:lang w:val="es-ES"/>
        </w:rPr>
        <w:br/>
        <w:t xml:space="preserve">Que conforme al primer inciso del artículo </w:t>
      </w:r>
      <w:proofErr w:type="spellStart"/>
      <w:r w:rsidRPr="00C210B7">
        <w:rPr>
          <w:rFonts w:ascii="Arial" w:hAnsi="Arial" w:cs="Arial"/>
          <w:sz w:val="16"/>
          <w:szCs w:val="16"/>
          <w:lang w:val="es-ES"/>
        </w:rPr>
        <w:t>innumerado</w:t>
      </w:r>
      <w:proofErr w:type="spellEnd"/>
      <w:r w:rsidRPr="00C210B7">
        <w:rPr>
          <w:rFonts w:ascii="Arial" w:hAnsi="Arial" w:cs="Arial"/>
          <w:sz w:val="16"/>
          <w:szCs w:val="16"/>
          <w:lang w:val="es-ES"/>
        </w:rPr>
        <w:t xml:space="preserve"> a continuación del artículo 51 del Reglamento para la Aplicación de la Ley de Régimen Tributario Interno, las sociedades residentes y los establecimientos permanentes en el Ecuador deberán informar </w:t>
      </w:r>
      <w:r w:rsidRPr="00C210B7">
        <w:rPr>
          <w:rFonts w:ascii="Arial" w:hAnsi="Arial" w:cs="Arial"/>
          <w:sz w:val="16"/>
          <w:szCs w:val="16"/>
          <w:lang w:val="es-ES"/>
        </w:rPr>
        <w:lastRenderedPageBreak/>
        <w:t>sobre la totalidad de su composición societaria, bajo las excepciones, condiciones y plazos dispuestos en la resolución que para el efecto emitan conjuntamente el Servicio de Rentas Internas y la Superintendencia de Compañías, Valores y Seguros;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Que el segundo inciso del artículo </w:t>
      </w:r>
      <w:proofErr w:type="spellStart"/>
      <w:r w:rsidRPr="00C210B7">
        <w:rPr>
          <w:rFonts w:ascii="Arial" w:hAnsi="Arial" w:cs="Arial"/>
          <w:sz w:val="16"/>
          <w:szCs w:val="16"/>
          <w:lang w:val="es-ES"/>
        </w:rPr>
        <w:t>innumerado</w:t>
      </w:r>
      <w:proofErr w:type="spellEnd"/>
      <w:r w:rsidRPr="00C210B7">
        <w:rPr>
          <w:rFonts w:ascii="Arial" w:hAnsi="Arial" w:cs="Arial"/>
          <w:sz w:val="16"/>
          <w:szCs w:val="16"/>
          <w:lang w:val="es-ES"/>
        </w:rPr>
        <w:t xml:space="preserve"> agregado a continuación del artículo 51 ibídem, establece que las sociedades que no cumplan con la obligación de informar su composición societaria, aplicarán la tarifa del 25%; y cuando presenten esta información de manera incompleta aplicará la tarifa del 25% respecto a la participación no presentada;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conforme la disposición transitoria vigésima primera del Reglamento para la Aplicación de la Ley de Régimen Tributario Interno, para el cumplimiento de la obligación de informar sobre la composición societaria, se usará el "Anexo de Accionistas, Partícipes, Socios, Miembros del Directorio y Administradores" aprobado por el Servicio de Rentas Internas en coordinación con la Superintendencia de Compañías, Valores y Seguros;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es deber de la administración tributaria expedir los actos normativos necesarios para la aplicación de normas legales y reglamentarias; y, para facilitar el cumplimiento de las obligaciones tributarias de los sujetos pasivos, así como también para fortalecer los controles respecto de la información reportada por los contribuyentes;</w:t>
      </w:r>
      <w:r w:rsidRPr="00C210B7">
        <w:rPr>
          <w:rFonts w:ascii="Arial" w:hAnsi="Arial" w:cs="Arial"/>
          <w:sz w:val="16"/>
          <w:szCs w:val="16"/>
          <w:lang w:val="es-ES"/>
        </w:rPr>
        <w:br/>
      </w:r>
      <w:r w:rsidRPr="00C210B7">
        <w:rPr>
          <w:rFonts w:ascii="Arial" w:hAnsi="Arial" w:cs="Arial"/>
          <w:sz w:val="16"/>
          <w:szCs w:val="16"/>
          <w:lang w:val="es-ES"/>
        </w:rPr>
        <w:br/>
        <w:t>Que mediante oficios No. NAC-NTROSGE15-00002607 y No. SCVS.IRQ.DSC.2015.03126229, del Servicio de Rentas Internas y de la Superintendencia de Compañías, Valores y Seguros, respectivamente, dichas instituciones acordaron el contenido de la presente resolución; y,</w:t>
      </w:r>
    </w:p>
    <w:p w:rsidR="00C210B7" w:rsidRPr="00C210B7" w:rsidRDefault="00C210B7" w:rsidP="00C210B7">
      <w:pPr>
        <w:jc w:val="both"/>
        <w:rPr>
          <w:rFonts w:ascii="Arial" w:hAnsi="Arial" w:cs="Arial"/>
          <w:sz w:val="16"/>
          <w:szCs w:val="16"/>
          <w:lang w:val="es-ES"/>
        </w:rPr>
      </w:pPr>
      <w:r w:rsidRPr="00C210B7">
        <w:rPr>
          <w:rFonts w:ascii="Arial" w:hAnsi="Arial" w:cs="Arial"/>
          <w:sz w:val="16"/>
          <w:szCs w:val="16"/>
          <w:lang w:val="es-ES"/>
        </w:rPr>
        <w:t>En ejercicio de sus facultades legales,</w:t>
      </w:r>
    </w:p>
    <w:p w:rsidR="00C210B7" w:rsidRPr="00C210B7" w:rsidRDefault="00C210B7" w:rsidP="00C210B7">
      <w:pPr>
        <w:jc w:val="center"/>
        <w:rPr>
          <w:rFonts w:ascii="Arial" w:hAnsi="Arial" w:cs="Arial"/>
          <w:sz w:val="16"/>
          <w:szCs w:val="16"/>
          <w:lang w:val="es-ES"/>
        </w:rPr>
      </w:pPr>
      <w:r w:rsidRPr="00C210B7">
        <w:rPr>
          <w:rFonts w:ascii="Arial" w:hAnsi="Arial" w:cs="Arial"/>
          <w:b/>
          <w:bCs/>
          <w:sz w:val="16"/>
          <w:szCs w:val="16"/>
          <w:lang w:val="es-ES"/>
        </w:rPr>
        <w:t>Resuelve:</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Expedir las normas que establecen las condiciones,</w:t>
      </w:r>
      <w:r w:rsidRPr="00C210B7">
        <w:rPr>
          <w:rFonts w:ascii="Arial" w:hAnsi="Arial" w:cs="Arial"/>
          <w:sz w:val="16"/>
          <w:szCs w:val="16"/>
          <w:lang w:val="es-ES"/>
        </w:rPr>
        <w:t> </w:t>
      </w:r>
      <w:r w:rsidRPr="00C210B7">
        <w:rPr>
          <w:rFonts w:ascii="Arial" w:hAnsi="Arial" w:cs="Arial"/>
          <w:b/>
          <w:bCs/>
          <w:sz w:val="16"/>
          <w:szCs w:val="16"/>
          <w:lang w:val="es-ES"/>
        </w:rPr>
        <w:t>plazos y las excepciones para informar la composición societaria, y aprobar el "Anexo de Accionistas,</w:t>
      </w:r>
      <w:r w:rsidRPr="00C210B7">
        <w:rPr>
          <w:rFonts w:ascii="Arial" w:hAnsi="Arial" w:cs="Arial"/>
          <w:sz w:val="16"/>
          <w:szCs w:val="16"/>
          <w:lang w:val="es-ES"/>
        </w:rPr>
        <w:t> </w:t>
      </w:r>
      <w:r w:rsidRPr="00C210B7">
        <w:rPr>
          <w:rFonts w:ascii="Arial" w:hAnsi="Arial" w:cs="Arial"/>
          <w:b/>
          <w:bCs/>
          <w:sz w:val="16"/>
          <w:szCs w:val="16"/>
          <w:lang w:val="es-ES"/>
        </w:rPr>
        <w:t>Partícipes, Socios, Miembros de Directorio y Administradores" y su contenido. </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 Objeto.- </w:t>
      </w:r>
      <w:r w:rsidRPr="00C210B7">
        <w:rPr>
          <w:rFonts w:ascii="Arial" w:hAnsi="Arial" w:cs="Arial"/>
          <w:sz w:val="16"/>
          <w:szCs w:val="16"/>
          <w:lang w:val="es-ES"/>
        </w:rPr>
        <w:t>Establecer las condiciones, los plazos y las excepciones para informar la composición societaria, así como aprobar el "Anexo de Accionistas, Partícipes, Socios, Miembros de Directorio y Administradores" y su contenido.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2. Sujetos obligados.- </w:t>
      </w:r>
      <w:r w:rsidRPr="00C210B7">
        <w:rPr>
          <w:rFonts w:ascii="Arial" w:hAnsi="Arial" w:cs="Arial"/>
          <w:sz w:val="16"/>
          <w:szCs w:val="16"/>
          <w:lang w:val="es-ES"/>
        </w:rPr>
        <w:t>Están obligados a presentar este anexo las sociedades, de conformidad con la definición del artículo 98 de la Ley de Régimen Tributario Interno, las sucursales de sociedades extranjeras residentes en el país, y los establecimientos permanentes de sociedades extranjeras no residentes.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r>
      <w:r w:rsidRPr="00C210B7">
        <w:rPr>
          <w:rFonts w:ascii="Arial" w:hAnsi="Arial" w:cs="Arial"/>
          <w:b/>
          <w:bCs/>
          <w:sz w:val="16"/>
          <w:szCs w:val="16"/>
          <w:lang w:val="es-ES"/>
        </w:rPr>
        <w:t>Artículo 3. Niveles de la composición societaria.- </w:t>
      </w:r>
      <w:r w:rsidRPr="00C210B7">
        <w:rPr>
          <w:rFonts w:ascii="Arial" w:hAnsi="Arial" w:cs="Arial"/>
          <w:sz w:val="16"/>
          <w:szCs w:val="16"/>
          <w:lang w:val="es-ES"/>
        </w:rPr>
        <w:t>Para efectos de la presente resolución, se considera primer nivel, la relación directa del sujeto obligado, con sus titulares o beneficiarios de derechos representativos de capital; y, segundo, tercer o el nivel que corresponda, la relación indirecta existente, entre aquellos, de acuerdo al número de sociedades intermedias que existan hasta llegar al último nivel de la composición societaria, en el que se identifique a personas naturales que sean beneficiarios finales, dependiendo de la estructura de negocio del sujeto obligado o las sociedades intermedias.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lastRenderedPageBreak/>
        <w:t>Entiéndase además como último nivel aquel en el cual se identifiquen a los siguientes sujetos, según corresponda: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Instituciones del Estado, según la definición señalada en la Constitución de la República del Ecuador;</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b) Empresas públicas reguladas por la Ley Orgánica de Empresas Públicas;</w:t>
      </w:r>
      <w:r w:rsidRPr="00C210B7">
        <w:rPr>
          <w:rFonts w:ascii="Arial" w:hAnsi="Arial" w:cs="Arial"/>
          <w:sz w:val="16"/>
          <w:szCs w:val="16"/>
          <w:lang w:val="es-ES"/>
        </w:rPr>
        <w:br/>
      </w:r>
      <w:r w:rsidRPr="00C210B7">
        <w:rPr>
          <w:rFonts w:ascii="Arial" w:hAnsi="Arial" w:cs="Arial"/>
          <w:sz w:val="16"/>
          <w:szCs w:val="16"/>
          <w:lang w:val="es-ES"/>
        </w:rPr>
        <w:br/>
        <w:t>c) Misiones y organismos internacionales reconocidos por el Estado ecuatoriano; 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d) Dependencias y organismos de Estados extranjeros reconocidos por el Estado ecuatoriano.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4. Información a reportar- </w:t>
      </w:r>
      <w:r w:rsidRPr="00C210B7">
        <w:rPr>
          <w:rFonts w:ascii="Arial" w:hAnsi="Arial" w:cs="Arial"/>
          <w:sz w:val="16"/>
          <w:szCs w:val="16"/>
          <w:lang w:val="es-ES"/>
        </w:rPr>
        <w:t>De manera general, los sujetos obligados a presentar la información prevista en esta resolución, deberán informar a través del </w:t>
      </w:r>
      <w:r w:rsidRPr="00C210B7">
        <w:rPr>
          <w:rFonts w:ascii="Arial" w:hAnsi="Arial" w:cs="Arial"/>
          <w:i/>
          <w:iCs/>
          <w:sz w:val="16"/>
          <w:szCs w:val="16"/>
          <w:lang w:val="es-ES"/>
        </w:rPr>
        <w:t>Anexo de Accionistas, Partícipes, Socios, Miembros de Directorio y Administradores, </w:t>
      </w:r>
      <w:r w:rsidRPr="00C210B7">
        <w:rPr>
          <w:rFonts w:ascii="Arial" w:hAnsi="Arial" w:cs="Arial"/>
          <w:sz w:val="16"/>
          <w:szCs w:val="16"/>
          <w:lang w:val="es-ES"/>
        </w:rPr>
        <w:t>del cien por ciento (100%) de sus titulares o beneficiarios de derechos representativos de capital, miembros de directorio y administradores, lo siguiente:</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Denominación, razón social o nombres y apellidos completos, según corresponda;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b) Número de Registro Único de Contribuyentes (RUC) o número o código de identificación fiscal otorgado en su país de residencia, o ubicación en caso de establecimientos permanentes. Para el caso de personas naturales, en ausencia de los anteriores, se deberá reportar el número de identificación o cédula de ciudadanía, otorgado por un organismo del Estado de donde sea residente;</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c) Tipo de persona (natural o jurídica), y en el caso de ser persona jurídica extranjera no residente en Ecuador, especificar el tipo de sociedad de que se trate y su figura jurídica;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d) País de nacionalidad para el caso de personas naturales;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e) País y jurisdicción de residencia fiscal;</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f) Porcentaje de participación de cada uno de los titulares o beneficiarios de derechos representativos de capital en la composición societaria; 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g) Señalamiento sobre si sus titulares o beneficiarios de derechos representativos de capital, miembros de directorio o administradores, de acuerdo a la normativa tributaria ecuatoriana vigente, son partes relacionadas del sujeto obligado.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5. Casos Especiales.- </w:t>
      </w:r>
      <w:r w:rsidRPr="00C210B7">
        <w:rPr>
          <w:rFonts w:ascii="Arial" w:hAnsi="Arial" w:cs="Arial"/>
          <w:sz w:val="16"/>
          <w:szCs w:val="16"/>
          <w:lang w:val="es-ES"/>
        </w:rPr>
        <w:t>En los casos descritos a continuación, el sujeto obligado deberá reportar la información en los niveles previstos en el artículo 7 de esta resolución, de conformidad con las reglas siguientes: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Cuando el sujeto obligado sea una institución de carácter privado sin fines de lucro, deberá reportar la información de sus miembros de directorio, administradores, socios fundadores, así como de las personas naturales o jurídicas que hayan efectuado, durante el ejercicio fiscal informado, aportes o donaciones, acumulados, superiores a dos fracciones básicas gravadas con tarifa cero para el cálculo del Impuesto a la Renta de personas naturales, vigente para el ejercicio fiscal informado;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b) Cuando el sujeto obligado sea una organización del sector no financiero que se encuentre bajo el régimen de la Ley Orgánica de </w:t>
      </w:r>
      <w:r w:rsidRPr="00C210B7">
        <w:rPr>
          <w:rFonts w:ascii="Arial" w:hAnsi="Arial" w:cs="Arial"/>
          <w:sz w:val="16"/>
          <w:szCs w:val="16"/>
          <w:lang w:val="es-ES"/>
        </w:rPr>
        <w:lastRenderedPageBreak/>
        <w:t>la Economía Popular y Solidaria, deberá reportar la información de los socios cuyo certificados de aportación, en el ejercicio fiscal informado, superen dos fracciones básicas gravadas con tarifa cero para el cálculo del Impuesto a la Renta de personas naturales, vigente para dicho ejercicio;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c) Cuando el sujeto obligado sea una entidad del sector financiero popular y solidario, deberá reportar la información de sus miembros del directorio, administradores y de los socios cuyos certificados de aportación, en el ejercicio fiscal informado, superen dos fracciones básicas gravadas con tarifa cero para el cálculo del Impuesto a la Renta de personas naturales, vigente para el ejercicio fiscal informado;</w:t>
      </w:r>
      <w:r w:rsidRPr="00C210B7">
        <w:rPr>
          <w:rFonts w:ascii="Arial" w:hAnsi="Arial" w:cs="Arial"/>
          <w:sz w:val="16"/>
          <w:szCs w:val="16"/>
          <w:lang w:val="es-ES"/>
        </w:rPr>
        <w:br/>
      </w:r>
      <w:r w:rsidRPr="00C210B7">
        <w:rPr>
          <w:rFonts w:ascii="Arial" w:hAnsi="Arial" w:cs="Arial"/>
          <w:sz w:val="16"/>
          <w:szCs w:val="16"/>
          <w:lang w:val="es-ES"/>
        </w:rPr>
        <w:br/>
        <w:t>d) Cuando el sujeto obligado sea un fondo de inversión o complementario, además del administrador del fondo, deberá reportar la información de aquellos titulares, cuyos derechos representativos de capital superen dos fracciones básicas gravadas con tarifa cero para el cálculo del Impuesto a la Renta de personas naturales, vigente para el ejercicio fiscal informado; 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e) Cuando el sujeto obligado sea un fideicomiso, deberá reportar la información relativa a sus administradores, constituyentes y beneficiarios.</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Artículo 6.- Información relacionada con derechos representativos de capital cotizados en bolsas de valores.</w:t>
      </w:r>
      <w:r w:rsidRPr="00C210B7">
        <w:rPr>
          <w:rFonts w:ascii="Arial" w:hAnsi="Arial" w:cs="Arial"/>
          <w:sz w:val="16"/>
          <w:szCs w:val="16"/>
          <w:lang w:val="es-ES"/>
        </w:rPr>
        <w:t>- En los casos en que el sujeto obligado o sus titulares o beneficiarios de derechos representativos de capital, sean sociedades que coticen dichos derechos en bolsas de valores del Ecuador o del exterior, el sujeto obligado deberá reportar al menos el ochenta por ciento (80%) de la composición societaria del sujeto obligado y de dichos titulares o beneficiarios. Para el efecto, se deberá ordenar y reportar por cada nivel la información de conformidad con los artículos 4 y 7 de la presente resolución, de forma descendente, de acuerdo a la participación de sus titulares o beneficiarios.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Sin perjuicio de lo señalado en el inciso anterior, se deberá informar sobre todo titular o beneficiario de derechos representativos de capital que posea el dos por ciento (2%) o más de la composición societaria.</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Artículo 7.- Niveles de la composición societaria a reportar.- </w:t>
      </w:r>
      <w:r w:rsidRPr="00C210B7">
        <w:rPr>
          <w:rFonts w:ascii="Arial" w:hAnsi="Arial" w:cs="Arial"/>
          <w:sz w:val="16"/>
          <w:szCs w:val="16"/>
          <w:lang w:val="es-ES"/>
        </w:rPr>
        <w:t>En general, la información a reportar corresponderá únicamente al primer nivel de la composición societaria, salvo cuando los titulares o beneficiarios de derechos representativos de capital, o los miembros de directorio o los administradores de la sociedad obligada a presentar este anexo, sean partes relacionadas del sujeto obligado, o sociedades no residentes sin establecimiento permanente en el Ecuador, en cuyo caso se deberá reportar de éstos, la información señalada en el artículo 4 de esta resolución, por cada nivel, sucesivamente hasta llegar al último nivel de la composición societaria.</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8.- Información de titulares de derechos representativos de capital residentes en paraísos fiscales.- </w:t>
      </w:r>
      <w:r w:rsidRPr="00C210B7">
        <w:rPr>
          <w:rFonts w:ascii="Arial" w:hAnsi="Arial" w:cs="Arial"/>
          <w:sz w:val="16"/>
          <w:szCs w:val="16"/>
          <w:lang w:val="es-ES"/>
        </w:rPr>
        <w:t>En todos los casos, en que el sujeto obligado tenga, directa o indirectamente, titulares o beneficiarios de derechos representativos de capital, residentes o establecidos en paraísos fiscales, regímenes fiscales preferentes o jurisdicciones de menor imposición, éste deberá reportar la información correspondiente a dichos titulares o beneficiarios, por cada nivel de la composición societaria hasta llegar al último nivel, inclusive en los casos previstos en los artículos 5 y 6 de la presente resolución.</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lastRenderedPageBreak/>
        <w:t>Artículo 9. Excepciones.- </w:t>
      </w:r>
      <w:r w:rsidRPr="00C210B7">
        <w:rPr>
          <w:rFonts w:ascii="Arial" w:hAnsi="Arial" w:cs="Arial"/>
          <w:sz w:val="16"/>
          <w:szCs w:val="16"/>
          <w:lang w:val="es-ES"/>
        </w:rPr>
        <w:t>No estarán obligados a presentar la información requerida en la presente resolución:</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Sucesiones indivisas.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b) Instituciones del Estado, según la definición señalada en la Constitución de la República del Ecuador.</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c) Empresas públicas reguladas por la Ley Orgánica de Empresas Públicas.</w:t>
      </w:r>
      <w:r w:rsidRPr="00C210B7">
        <w:rPr>
          <w:rFonts w:ascii="Arial" w:hAnsi="Arial" w:cs="Arial"/>
          <w:sz w:val="16"/>
          <w:szCs w:val="16"/>
          <w:lang w:val="es-ES"/>
        </w:rPr>
        <w:br/>
      </w:r>
      <w:r w:rsidRPr="00C210B7">
        <w:rPr>
          <w:rFonts w:ascii="Arial" w:hAnsi="Arial" w:cs="Arial"/>
          <w:sz w:val="16"/>
          <w:szCs w:val="16"/>
          <w:lang w:val="es-ES"/>
        </w:rPr>
        <w:br/>
        <w:t>d) Misiones y Organismos Internacionales reconocidos por el Estado ecuatoriano.</w:t>
      </w:r>
      <w:r w:rsidRPr="00C210B7">
        <w:rPr>
          <w:rFonts w:ascii="Arial" w:hAnsi="Arial" w:cs="Arial"/>
          <w:sz w:val="16"/>
          <w:szCs w:val="16"/>
          <w:lang w:val="es-ES"/>
        </w:rPr>
        <w:br/>
      </w:r>
      <w:r w:rsidRPr="00C210B7">
        <w:rPr>
          <w:rFonts w:ascii="Arial" w:hAnsi="Arial" w:cs="Arial"/>
          <w:sz w:val="16"/>
          <w:szCs w:val="16"/>
          <w:lang w:val="es-ES"/>
        </w:rPr>
        <w:br/>
        <w:t>e) Organizaciones del sector no financiero de la Economía Popular y Solidaria, cuyo capital social sea igual o inferior a dieciocho (18) fracciones básicas gravadas con tarifa cero para el cálculo del Impuesto a la Renta de personas naturales, o que por disposición reglamentaria se encuentren en un régimen abreviado para el cumplimiento de sus deberes formales.</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10. Forma de Presentación- </w:t>
      </w:r>
      <w:r w:rsidRPr="00C210B7">
        <w:rPr>
          <w:rFonts w:ascii="Arial" w:hAnsi="Arial" w:cs="Arial"/>
          <w:sz w:val="16"/>
          <w:szCs w:val="16"/>
          <w:lang w:val="es-ES"/>
        </w:rPr>
        <w:t>El </w:t>
      </w:r>
      <w:r w:rsidRPr="00C210B7">
        <w:rPr>
          <w:rFonts w:ascii="Arial" w:hAnsi="Arial" w:cs="Arial"/>
          <w:i/>
          <w:iCs/>
          <w:sz w:val="16"/>
          <w:szCs w:val="16"/>
          <w:lang w:val="es-ES"/>
        </w:rPr>
        <w:t>"Anexo de Accionistas, Partícipes, Socios, Miembros de Directorio y Administradores" </w:t>
      </w:r>
      <w:r w:rsidRPr="00C210B7">
        <w:rPr>
          <w:rFonts w:ascii="Arial" w:hAnsi="Arial" w:cs="Arial"/>
          <w:sz w:val="16"/>
          <w:szCs w:val="16"/>
          <w:lang w:val="es-ES"/>
        </w:rPr>
        <w:t>deberá ser presentado al Servicio de Rentas Internas a través de su página web: </w:t>
      </w:r>
      <w:r w:rsidRPr="00C210B7">
        <w:rPr>
          <w:rFonts w:ascii="Arial" w:hAnsi="Arial" w:cs="Arial"/>
          <w:sz w:val="16"/>
          <w:szCs w:val="16"/>
          <w:u w:val="single"/>
          <w:lang w:val="es-ES"/>
        </w:rPr>
        <w:t>www.sri.gob.</w:t>
      </w:r>
      <w:r w:rsidRPr="00C210B7">
        <w:rPr>
          <w:rFonts w:ascii="Arial" w:hAnsi="Arial" w:cs="Arial"/>
          <w:sz w:val="16"/>
          <w:szCs w:val="16"/>
          <w:lang w:val="es-ES"/>
        </w:rPr>
        <w:t>ec, de conformidad con el formato y las especificaciones contenidas en la respectiva ficha técnica, disponible en la mencionada página web.</w:t>
      </w:r>
    </w:p>
    <w:p w:rsidR="00C210B7" w:rsidRP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11. Plazos para la presentación del anexo- </w:t>
      </w:r>
      <w:r w:rsidRPr="00C210B7">
        <w:rPr>
          <w:rFonts w:ascii="Arial" w:hAnsi="Arial" w:cs="Arial"/>
          <w:sz w:val="16"/>
          <w:szCs w:val="16"/>
          <w:lang w:val="es-ES"/>
        </w:rPr>
        <w:t>De manera general, la información a reportar será aquella con corte al 31 de diciembre del respectivo ejercicio fiscal y se presentará en el mes de febrero del ejercicio fiscal siguiente al que corresponda dicha información, considerando el noveno dígito del Registro Único de Contribuyentes (RUC) del sujeto obligado, según el calendario señalado a continuación: </w:t>
      </w:r>
    </w:p>
    <w:tbl>
      <w:tblPr>
        <w:tblStyle w:val="Tablaconcuadrcula"/>
        <w:tblW w:w="0" w:type="auto"/>
        <w:tblInd w:w="720" w:type="dxa"/>
        <w:tblLook w:val="04A0" w:firstRow="1" w:lastRow="0" w:firstColumn="1" w:lastColumn="0" w:noHBand="0" w:noVBand="1"/>
      </w:tblPr>
      <w:tblGrid>
        <w:gridCol w:w="1373"/>
        <w:gridCol w:w="1984"/>
      </w:tblGrid>
      <w:tr w:rsidR="00C210B7" w:rsidRPr="00C210B7" w:rsidTr="00C210B7">
        <w:tc>
          <w:tcPr>
            <w:tcW w:w="1373" w:type="dxa"/>
            <w:shd w:val="clear" w:color="auto" w:fill="31440F" w:themeFill="accent5" w:themeFillShade="80"/>
            <w:hideMark/>
          </w:tcPr>
          <w:p w:rsidR="00C210B7" w:rsidRPr="00C210B7" w:rsidRDefault="00C210B7" w:rsidP="00C210B7">
            <w:pPr>
              <w:jc w:val="center"/>
              <w:rPr>
                <w:rFonts w:ascii="Arial" w:hAnsi="Arial" w:cs="Arial"/>
                <w:sz w:val="16"/>
                <w:szCs w:val="16"/>
                <w:lang w:val="es-ES"/>
              </w:rPr>
            </w:pPr>
            <w:r w:rsidRPr="00C210B7">
              <w:rPr>
                <w:rFonts w:ascii="Arial" w:hAnsi="Arial" w:cs="Arial"/>
                <w:b/>
                <w:bCs/>
                <w:sz w:val="16"/>
                <w:szCs w:val="16"/>
                <w:lang w:val="es-ES"/>
              </w:rPr>
              <w:t>Noveno dígito del RUC</w:t>
            </w:r>
          </w:p>
        </w:tc>
        <w:tc>
          <w:tcPr>
            <w:tcW w:w="1984" w:type="dxa"/>
            <w:shd w:val="clear" w:color="auto" w:fill="31440F" w:themeFill="accent5" w:themeFillShade="80"/>
            <w:hideMark/>
          </w:tcPr>
          <w:p w:rsidR="00C210B7" w:rsidRPr="00C210B7" w:rsidRDefault="00C210B7" w:rsidP="00C210B7">
            <w:pPr>
              <w:jc w:val="center"/>
              <w:rPr>
                <w:rFonts w:ascii="Arial" w:hAnsi="Arial" w:cs="Arial"/>
                <w:sz w:val="16"/>
                <w:szCs w:val="16"/>
                <w:lang w:val="es-ES"/>
              </w:rPr>
            </w:pPr>
            <w:r w:rsidRPr="00C210B7">
              <w:rPr>
                <w:rFonts w:ascii="Arial" w:hAnsi="Arial" w:cs="Arial"/>
                <w:b/>
                <w:bCs/>
                <w:sz w:val="16"/>
                <w:szCs w:val="16"/>
                <w:lang w:val="es-ES"/>
              </w:rPr>
              <w:t>Fecha máxima de entrega</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10 de febrero</w:t>
            </w:r>
          </w:p>
        </w:tc>
      </w:tr>
      <w:tr w:rsidR="00C210B7" w:rsidRPr="00C210B7" w:rsidTr="00C210B7">
        <w:trPr>
          <w:trHeight w:val="59"/>
        </w:trPr>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12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3</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14 de febrero</w:t>
            </w:r>
          </w:p>
        </w:tc>
      </w:tr>
      <w:tr w:rsidR="00C210B7" w:rsidRPr="00C210B7" w:rsidTr="00C210B7">
        <w:trPr>
          <w:trHeight w:val="59"/>
        </w:trPr>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4</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16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5</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18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6</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20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7</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22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8</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24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9</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26 de febrero</w:t>
            </w:r>
          </w:p>
        </w:tc>
      </w:tr>
      <w:tr w:rsidR="00C210B7" w:rsidRPr="00C210B7" w:rsidTr="00C210B7">
        <w:trPr>
          <w:trHeight w:val="59"/>
        </w:trPr>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0</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28 de febrero</w:t>
            </w:r>
          </w:p>
        </w:tc>
      </w:tr>
    </w:tbl>
    <w:p w:rsidR="00C210B7" w:rsidRDefault="00C210B7" w:rsidP="00C210B7">
      <w:pPr>
        <w:jc w:val="both"/>
        <w:rPr>
          <w:rFonts w:ascii="Arial" w:hAnsi="Arial" w:cs="Arial"/>
          <w:sz w:val="16"/>
          <w:szCs w:val="16"/>
          <w:lang w:val="es-ES"/>
        </w:rPr>
      </w:pPr>
    </w:p>
    <w:p w:rsidR="00C210B7" w:rsidRPr="00C210B7" w:rsidRDefault="00C210B7" w:rsidP="00C210B7">
      <w:pPr>
        <w:jc w:val="both"/>
        <w:rPr>
          <w:rFonts w:ascii="Arial" w:hAnsi="Arial" w:cs="Arial"/>
          <w:sz w:val="16"/>
          <w:szCs w:val="16"/>
          <w:lang w:val="es-ES"/>
        </w:rPr>
      </w:pPr>
      <w:r w:rsidRPr="00C210B7">
        <w:rPr>
          <w:rFonts w:ascii="Arial" w:hAnsi="Arial" w:cs="Arial"/>
          <w:sz w:val="16"/>
          <w:szCs w:val="16"/>
          <w:lang w:val="es-ES"/>
        </w:rPr>
        <w:t>No obstante lo dispuesto en el inciso anterior, en el caso de sociedades constituidas o establecidas en el transcurso del ejercicio fiscal, o en los que el sujeto obligado presente cualquier cambio en la composición societaria y demás información prevista en esta resolución, se deberá presentar el anexo en el mes subsiguiente en que se produjo la constitución o el cambio, con corte al último día del período que se informe, de acuerdo al siguiente calendario: </w:t>
      </w:r>
    </w:p>
    <w:tbl>
      <w:tblPr>
        <w:tblW w:w="3745" w:type="dxa"/>
        <w:jc w:val="center"/>
        <w:tblInd w:w="187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76"/>
        <w:gridCol w:w="2469"/>
      </w:tblGrid>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Noveno dígito del RUC</w:t>
            </w:r>
          </w:p>
        </w:tc>
        <w:tc>
          <w:tcPr>
            <w:tcW w:w="2469" w:type="dxa"/>
            <w:tcBorders>
              <w:top w:val="outset" w:sz="6" w:space="0" w:color="auto"/>
              <w:left w:val="outset" w:sz="6" w:space="0" w:color="auto"/>
              <w:bottom w:val="single" w:sz="4"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Fecha máxima de entrega (Mes subsiguiente al que corresponda la información)</w:t>
            </w:r>
          </w:p>
        </w:tc>
      </w:tr>
      <w:tr w:rsidR="00C210B7" w:rsidRPr="00C210B7" w:rsidTr="00C210B7">
        <w:trPr>
          <w:jc w:val="center"/>
        </w:trPr>
        <w:tc>
          <w:tcPr>
            <w:tcW w:w="1276" w:type="dxa"/>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w:t>
            </w:r>
          </w:p>
        </w:tc>
        <w:tc>
          <w:tcPr>
            <w:tcW w:w="24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10</w:t>
            </w:r>
          </w:p>
        </w:tc>
      </w:tr>
      <w:tr w:rsidR="00C210B7" w:rsidRPr="00C210B7" w:rsidTr="00C210B7">
        <w:trPr>
          <w:jc w:val="center"/>
        </w:trPr>
        <w:tc>
          <w:tcPr>
            <w:tcW w:w="1276" w:type="dxa"/>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w:t>
            </w:r>
          </w:p>
        </w:tc>
        <w:tc>
          <w:tcPr>
            <w:tcW w:w="24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12</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3</w:t>
            </w:r>
          </w:p>
        </w:tc>
        <w:tc>
          <w:tcPr>
            <w:tcW w:w="2469" w:type="dxa"/>
            <w:tcBorders>
              <w:top w:val="single" w:sz="4"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14</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4</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16</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5</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18</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6</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20</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7</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22</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lastRenderedPageBreak/>
              <w:t>8</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24</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9</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26</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0</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28</w:t>
            </w:r>
          </w:p>
        </w:tc>
      </w:tr>
    </w:tbl>
    <w:p w:rsidR="00C210B7" w:rsidRPr="00C210B7" w:rsidRDefault="00C210B7" w:rsidP="00C210B7">
      <w:pPr>
        <w:jc w:val="both"/>
        <w:rPr>
          <w:rFonts w:ascii="Arial" w:hAnsi="Arial" w:cs="Arial"/>
          <w:sz w:val="16"/>
          <w:szCs w:val="16"/>
          <w:lang w:val="es-ES"/>
        </w:rPr>
      </w:pPr>
      <w:r w:rsidRPr="00C210B7">
        <w:rPr>
          <w:rFonts w:ascii="Arial" w:hAnsi="Arial" w:cs="Arial"/>
          <w:sz w:val="16"/>
          <w:szCs w:val="16"/>
          <w:lang w:val="es-ES"/>
        </w:rPr>
        <w:br/>
        <w:t>Lo dispuesto en los incisos anteriores, no será aplicable para aquellos sujetos obligados que en la información a reportar, presenten titulares o beneficiarios de derechos representativos de capital que sean sociedades no residentes sin establecimiento permanente en el Ecuador que coticen sus derechos en bolsas de valores del exterior, quienes deberán reportar la información semestralmente, incluso en los casos en que no existan cambios en su composición societaria, con corte al último día de los meses de junio y diciembre del respectivo ejercicio fiscal, de conformidad con el siguiente calendario: </w:t>
      </w:r>
    </w:p>
    <w:tbl>
      <w:tblPr>
        <w:tblW w:w="0" w:type="auto"/>
        <w:jc w:val="center"/>
        <w:tblInd w:w="57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31"/>
        <w:gridCol w:w="2186"/>
      </w:tblGrid>
      <w:tr w:rsidR="00C210B7" w:rsidRPr="00C210B7" w:rsidTr="00C210B7">
        <w:trPr>
          <w:jc w:val="center"/>
        </w:trPr>
        <w:tc>
          <w:tcPr>
            <w:tcW w:w="2131" w:type="dxa"/>
            <w:tcBorders>
              <w:top w:val="outset" w:sz="6" w:space="0" w:color="auto"/>
              <w:left w:val="outset" w:sz="6" w:space="0" w:color="auto"/>
              <w:bottom w:val="outset" w:sz="6"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Período Enero - Junio</w:t>
            </w:r>
          </w:p>
        </w:tc>
        <w:tc>
          <w:tcPr>
            <w:tcW w:w="2186" w:type="dxa"/>
            <w:tcBorders>
              <w:top w:val="outset" w:sz="6" w:space="0" w:color="auto"/>
              <w:left w:val="outset" w:sz="6" w:space="0" w:color="auto"/>
              <w:bottom w:val="outset" w:sz="6"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Período Julio -Diciembre</w:t>
            </w:r>
          </w:p>
        </w:tc>
      </w:tr>
      <w:tr w:rsidR="00C210B7" w:rsidRPr="00C210B7" w:rsidTr="00C210B7">
        <w:trPr>
          <w:jc w:val="center"/>
        </w:trPr>
        <w:tc>
          <w:tcPr>
            <w:tcW w:w="21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Default="00C210B7" w:rsidP="00C210B7">
            <w:pPr>
              <w:spacing w:after="0" w:line="240" w:lineRule="auto"/>
              <w:jc w:val="center"/>
              <w:rPr>
                <w:rFonts w:ascii="Arial" w:hAnsi="Arial" w:cs="Arial"/>
                <w:b/>
                <w:sz w:val="16"/>
                <w:szCs w:val="16"/>
                <w:lang w:val="es-ES"/>
              </w:rPr>
            </w:pPr>
          </w:p>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sz w:val="16"/>
                <w:szCs w:val="16"/>
                <w:lang w:val="es-ES"/>
              </w:rPr>
              <w:t xml:space="preserve">Fecha máxima de entrega: </w:t>
            </w:r>
            <w:r w:rsidRPr="00C210B7">
              <w:rPr>
                <w:rFonts w:ascii="Arial" w:hAnsi="Arial" w:cs="Arial"/>
                <w:sz w:val="16"/>
                <w:szCs w:val="16"/>
                <w:lang w:val="es-ES"/>
              </w:rPr>
              <w:t>30 SEPTIEMBRE del ejercicio fiscal que corresponde la información a reportar</w:t>
            </w:r>
          </w:p>
        </w:tc>
        <w:tc>
          <w:tcPr>
            <w:tcW w:w="21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sz w:val="16"/>
                <w:szCs w:val="16"/>
                <w:lang w:val="es-ES"/>
              </w:rPr>
              <w:t>Fecha máxima de entrega:</w:t>
            </w:r>
            <w:r w:rsidRPr="00C210B7">
              <w:rPr>
                <w:rFonts w:ascii="Arial" w:hAnsi="Arial" w:cs="Arial"/>
                <w:sz w:val="16"/>
                <w:szCs w:val="16"/>
                <w:lang w:val="es-ES"/>
              </w:rPr>
              <w:t xml:space="preserve"> 31 MARZO del ejercicio fiscal siguiente al que corresponda la información a reportar</w:t>
            </w:r>
          </w:p>
        </w:tc>
      </w:tr>
    </w:tbl>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t>Cuando los sujetos obligados sean, instituciones de carácter privado sin fines de lucro, y organizaciones del sector no financiero que se encuentren bajo el régimen de la Ley Orgánica de la Economía Popular y Solidaria que no se encuentren exentas de reportar la información prevista en esta resolución, reportarán únicamente la información de conformidad con el primer inciso de este artículo.</w:t>
      </w:r>
      <w:r w:rsidRPr="00C210B7">
        <w:rPr>
          <w:rFonts w:ascii="Arial" w:hAnsi="Arial" w:cs="Arial"/>
          <w:sz w:val="16"/>
          <w:szCs w:val="16"/>
          <w:lang w:val="es-ES"/>
        </w:rPr>
        <w:br/>
      </w:r>
      <w:r w:rsidRPr="00C210B7">
        <w:rPr>
          <w:rFonts w:ascii="Arial" w:hAnsi="Arial" w:cs="Arial"/>
          <w:sz w:val="16"/>
          <w:szCs w:val="16"/>
          <w:lang w:val="es-ES"/>
        </w:rPr>
        <w:br/>
        <w:t>Cuando una fecha de vencimiento coincida con días de descanso obligatorio o feriados, aquella se trasladará al siguiente día hábil. Los feriados locales se deberán considerar con respecto a cada región de acuerdo al domicilio tributario del sujeto pasivo obligado.</w:t>
      </w:r>
      <w:r w:rsidRPr="00C210B7">
        <w:rPr>
          <w:rFonts w:ascii="Arial" w:hAnsi="Arial" w:cs="Arial"/>
          <w:sz w:val="16"/>
          <w:szCs w:val="16"/>
          <w:lang w:val="es-ES"/>
        </w:rPr>
        <w:br/>
      </w:r>
      <w:r w:rsidRPr="00C210B7">
        <w:rPr>
          <w:rFonts w:ascii="Arial" w:hAnsi="Arial" w:cs="Arial"/>
          <w:sz w:val="16"/>
          <w:szCs w:val="16"/>
          <w:lang w:val="es-ES"/>
        </w:rPr>
        <w:br/>
        <w:t>Cuando el sujeto obligado, deba presentar su declaración anticipada de impuesto a la renta, por efectos de terminación de actividades, de escisión o fusión de sociedades antes de la finalización del ejercicio impositivo, deberá presentar este anexo al menos tres días hábiles antes de su declaración de impuesto a la renta anticipada.</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Artículo 12. Falta de presentación o presentación incompleta.- </w:t>
      </w:r>
      <w:r w:rsidRPr="00C210B7">
        <w:rPr>
          <w:rFonts w:ascii="Arial" w:hAnsi="Arial" w:cs="Arial"/>
          <w:sz w:val="16"/>
          <w:szCs w:val="16"/>
          <w:lang w:val="es-ES"/>
        </w:rPr>
        <w:t>Sin perjuicio de las sanciones pertinentes conforme a la normativa tributaria vigente y la obligación de informar la composición societaria, la tarifa de impuesto a la renta aplicable para el sujeto obligado que debiendo reportar la información, de conformidad con las disposiciones de esta resolución, no lo haga, o lo haga de forma incompleta, se sujetará a las siguientes disposiciones: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Cuando el sujeto obligado no presente el anexo, previo a su declaración de impuesto a la renta del ejercicio fiscal al que corresponda y hasta la fecha de vencimiento de dicha declaración, sin perjuicio de las sanciones respectivas, se considerará como no cumplida su obligación y por lo tanto deberá aplicar la tarifa del 25% a la totalidad de su base imponible para efectos del cálculo del impuesto a la renta del ejercicio fiscal al que corresponda dicha información.</w:t>
      </w:r>
      <w:r w:rsidRPr="00C210B7">
        <w:rPr>
          <w:rFonts w:ascii="Arial" w:hAnsi="Arial" w:cs="Arial"/>
          <w:sz w:val="16"/>
          <w:szCs w:val="16"/>
          <w:lang w:val="es-ES"/>
        </w:rPr>
        <w:br/>
      </w:r>
      <w:r w:rsidRPr="00C210B7">
        <w:rPr>
          <w:rFonts w:ascii="Arial" w:hAnsi="Arial" w:cs="Arial"/>
          <w:sz w:val="16"/>
          <w:szCs w:val="16"/>
          <w:lang w:val="es-ES"/>
        </w:rPr>
        <w:br/>
        <w:t>b) Cuando el sujeto obligado reporte la información de manera incompleta, aplicará la tarifa del 25% de impuesto a la renta, a la parte de la base imponible que corresponda a la participación no reportada. Sobre el resto aplicará la tarifa correspondiente de acuerdo a las normas generales. Asimismo, aplicará la tarifa del 25%) de impuesto a la renta, a la totalidad de la base imponible, en los casos en que el sujeto obligado, no reporte el 50%&gt; o más de su composición societaria.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lastRenderedPageBreak/>
        <w:t>Se entenderá que la información de la composición societaria se ha presentado de forma incompleta, cuando la información reportada no permita a la Administración Tributaria, identificar a los titulares o beneficiarios de derechos representativos de capital, su residencia y su participación en la composición societaria, de conformidad con los artículos 4 y 7 de esta Resolución.</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13. Sanciones.- </w:t>
      </w:r>
      <w:r w:rsidRPr="00C210B7">
        <w:rPr>
          <w:rFonts w:ascii="Arial" w:hAnsi="Arial" w:cs="Arial"/>
          <w:sz w:val="16"/>
          <w:szCs w:val="16"/>
          <w:lang w:val="es-ES"/>
        </w:rPr>
        <w:t>La presentación tardía, la falta de presentación o la presentación inexacta de la información, serán sancionadas conforme a la normativa vigente, y no exime al sujeto obligado de la presentación del Anexo, así como del pago de la tarifa del 25%&gt; de impuesto a la renta, conforme lo señalado en el artículo anterior.</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Disposición General.- </w:t>
      </w:r>
      <w:r w:rsidRPr="00C210B7">
        <w:rPr>
          <w:rFonts w:ascii="Arial" w:hAnsi="Arial" w:cs="Arial"/>
          <w:sz w:val="16"/>
          <w:szCs w:val="16"/>
          <w:lang w:val="es-ES"/>
        </w:rPr>
        <w:t>El Servicio de Rentas Internas en ejercicio de sus facultades legalmente establecidas verificará la correcta aplicación de la tarifa de impuesto a la renta para aquellos casos en que el sujeto obligado no haya cumplido con su obligación o lo haya hecho de manera incompleta.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El Servicio de Rentas Internas y la Superintendencia de Compañías, en uso de sus facultades, podrán requerir información complementaria sobre la composición societaria de los sujetos obligados a presentar este anexo.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lastRenderedPageBreak/>
        <w:t>Disposición Transitoria Primera.- </w:t>
      </w:r>
      <w:r w:rsidRPr="00C210B7">
        <w:rPr>
          <w:rFonts w:ascii="Arial" w:hAnsi="Arial" w:cs="Arial"/>
          <w:sz w:val="16"/>
          <w:szCs w:val="16"/>
          <w:lang w:val="es-ES"/>
        </w:rPr>
        <w:t>Los sujetos pasivos que tengan la obligación de presentar el "Anexo de Accionistas, Partícipes, Socios, Miembros de Directorio y Administradores", que se encuentren omisos o requieran efectuar modificaciones a sus anexos anteriormente presentados, deberán reportar la información según las especificaciones señaladas en la presente resolución.</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Disposición Transitoria Segunda.- </w:t>
      </w:r>
      <w:r w:rsidRPr="00C210B7">
        <w:rPr>
          <w:rFonts w:ascii="Arial" w:hAnsi="Arial" w:cs="Arial"/>
          <w:sz w:val="16"/>
          <w:szCs w:val="16"/>
          <w:lang w:val="es-ES"/>
        </w:rPr>
        <w:t>Por única vez los sujetos pasivos obligados a reportar la información correspondiente al ejercicio fiscal 2015, deberán presentar el anexo previsto en esta Resolución, en el mes de abril de 2016, previo a su declaración de impuesto a la renta de ese ejercicio fiscal y hasta la fecha de vencimiento de dicha declaración.</w:t>
      </w:r>
    </w:p>
    <w:p w:rsidR="00F20655" w:rsidRDefault="00C210B7" w:rsidP="00C210B7">
      <w:pPr>
        <w:jc w:val="both"/>
        <w:rPr>
          <w:rFonts w:ascii="Arial" w:hAnsi="Arial" w:cs="Arial"/>
          <w:noProof/>
          <w:sz w:val="16"/>
          <w:szCs w:val="16"/>
          <w:lang w:val="es-ES" w:eastAsia="es-ES"/>
        </w:rPr>
      </w:pPr>
      <w:r w:rsidRPr="00C210B7">
        <w:rPr>
          <w:rFonts w:ascii="Arial" w:hAnsi="Arial" w:cs="Arial"/>
          <w:b/>
          <w:bCs/>
          <w:sz w:val="16"/>
          <w:szCs w:val="16"/>
          <w:lang w:val="es-ES"/>
        </w:rPr>
        <w:t>Disposición Derogatoria.- </w:t>
      </w:r>
      <w:r w:rsidRPr="00C210B7">
        <w:rPr>
          <w:rFonts w:ascii="Arial" w:hAnsi="Arial" w:cs="Arial"/>
          <w:sz w:val="16"/>
          <w:szCs w:val="16"/>
          <w:lang w:val="es-ES"/>
        </w:rPr>
        <w:t>Se derogan las resoluciones NAC-DGERCGC12-00777, publicada en el Registro Oficial No. 855 del 20 de diciembre del 2012, y NAC-DGRERCGC13-00059, publicada en el Tercer Suplemento del Registro Oficial 892 del 15 de febrero de 2013.</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Disposición Final.- </w:t>
      </w:r>
      <w:r w:rsidRPr="00C210B7">
        <w:rPr>
          <w:rFonts w:ascii="Arial" w:hAnsi="Arial" w:cs="Arial"/>
          <w:sz w:val="16"/>
          <w:szCs w:val="16"/>
          <w:lang w:val="es-ES"/>
        </w:rPr>
        <w:t>La presente resolución entrará en vigencia a partir del 01 de febrero de 2016.</w:t>
      </w:r>
      <w:r w:rsidR="00F20655" w:rsidRPr="00F20655">
        <w:rPr>
          <w:rFonts w:ascii="Arial" w:hAnsi="Arial" w:cs="Arial"/>
          <w:noProof/>
          <w:sz w:val="16"/>
          <w:szCs w:val="16"/>
          <w:lang w:val="es-ES" w:eastAsia="es-ES"/>
        </w:rPr>
        <w:t xml:space="preserve"> </w:t>
      </w:r>
    </w:p>
    <w:p w:rsidR="007870A9" w:rsidRPr="00165C68" w:rsidRDefault="00C210B7" w:rsidP="00FE0A40">
      <w:pPr>
        <w:ind w:left="142"/>
        <w:rPr>
          <w:rFonts w:ascii="Arial" w:hAnsi="Arial" w:cs="Arial"/>
          <w:sz w:val="16"/>
          <w:szCs w:val="16"/>
          <w:lang w:val="es-ES"/>
        </w:rPr>
      </w:pPr>
      <w:r w:rsidRPr="00165C68">
        <w:rPr>
          <w:rFonts w:ascii="Arial" w:hAnsi="Arial" w:cs="Arial"/>
          <w:noProof/>
          <w:sz w:val="16"/>
          <w:szCs w:val="16"/>
          <w:lang w:val="es-EC" w:eastAsia="es-EC"/>
        </w:rPr>
        <w:drawing>
          <wp:anchor distT="0" distB="0" distL="114300" distR="114300" simplePos="0" relativeHeight="251687936" behindDoc="1" locked="0" layoutInCell="1" allowOverlap="1" wp14:anchorId="624FDF2F" wp14:editId="2D31F95F">
            <wp:simplePos x="0" y="0"/>
            <wp:positionH relativeFrom="column">
              <wp:posOffset>106341</wp:posOffset>
            </wp:positionH>
            <wp:positionV relativeFrom="paragraph">
              <wp:posOffset>-5686</wp:posOffset>
            </wp:positionV>
            <wp:extent cx="2905760" cy="205168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puestos-o-tax-nueva-york-L-SYHtiB[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05760" cy="2051685"/>
                    </a:xfrm>
                    <a:prstGeom prst="rect">
                      <a:avLst/>
                    </a:prstGeom>
                  </pic:spPr>
                </pic:pic>
              </a:graphicData>
            </a:graphic>
            <wp14:sizeRelH relativeFrom="page">
              <wp14:pctWidth>0</wp14:pctWidth>
            </wp14:sizeRelH>
            <wp14:sizeRelV relativeFrom="page">
              <wp14:pctHeight>0</wp14:pctHeight>
            </wp14:sizeRelV>
          </wp:anchor>
        </w:drawing>
      </w:r>
    </w:p>
    <w:p w:rsidR="007870A9" w:rsidRPr="00FE0A40" w:rsidRDefault="007870A9">
      <w:pPr>
        <w:pStyle w:val="Ttulo1"/>
        <w:rPr>
          <w:lang w:val="es-ES"/>
        </w:rPr>
        <w:sectPr w:rsidR="007870A9" w:rsidRPr="00FE0A40" w:rsidSect="006455FD">
          <w:type w:val="continuous"/>
          <w:pgSz w:w="12240" w:h="15840"/>
          <w:pgMar w:top="936" w:right="936" w:bottom="936" w:left="936" w:header="720" w:footer="720" w:gutter="0"/>
          <w:cols w:num="2" w:space="616"/>
          <w:docGrid w:linePitch="360"/>
        </w:sectPr>
      </w:pPr>
    </w:p>
    <w:p w:rsidR="004B343A" w:rsidRPr="004B343A" w:rsidRDefault="004B343A">
      <w:pPr>
        <w:pStyle w:val="Cita"/>
        <w:jc w:val="left"/>
        <w:rPr>
          <w:rFonts w:asciiTheme="minorHAnsi" w:hAnsiTheme="minorHAnsi"/>
          <w:i w:val="0"/>
          <w:color w:val="2F5897" w:themeColor="text2"/>
          <w:sz w:val="22"/>
          <w:lang w:val="es-ES"/>
        </w:rPr>
      </w:pPr>
    </w:p>
    <w:p w:rsidR="004B343A" w:rsidRPr="004B343A" w:rsidRDefault="004B343A">
      <w:pPr>
        <w:pStyle w:val="Cita"/>
        <w:jc w:val="left"/>
        <w:rPr>
          <w:rFonts w:asciiTheme="minorHAnsi" w:hAnsiTheme="minorHAnsi"/>
          <w:i w:val="0"/>
          <w:color w:val="2F5897" w:themeColor="text2"/>
          <w:sz w:val="22"/>
          <w:lang w:val="es-ES"/>
        </w:rPr>
      </w:pPr>
    </w:p>
    <w:p w:rsidR="004B343A" w:rsidRPr="004B343A" w:rsidRDefault="004B343A">
      <w:pPr>
        <w:pStyle w:val="Cita"/>
        <w:jc w:val="left"/>
        <w:rPr>
          <w:rFonts w:asciiTheme="minorHAnsi" w:hAnsiTheme="minorHAnsi"/>
          <w:i w:val="0"/>
          <w:color w:val="2F5897" w:themeColor="text2"/>
          <w:sz w:val="22"/>
          <w:lang w:val="es-ES"/>
        </w:rPr>
      </w:pPr>
    </w:p>
    <w:p w:rsidR="007870A9" w:rsidRDefault="00C210B7">
      <w:pPr>
        <w:pStyle w:val="Cita"/>
        <w:jc w:val="left"/>
        <w:rPr>
          <w:rFonts w:asciiTheme="minorHAnsi" w:hAnsiTheme="minorHAnsi"/>
          <w:i w:val="0"/>
          <w:color w:val="2F5897" w:themeColor="text2"/>
          <w:sz w:val="22"/>
        </w:rPr>
      </w:pPr>
      <w:r w:rsidRPr="00C32BBF">
        <w:rPr>
          <w:noProof/>
          <w:lang w:val="es-EC" w:eastAsia="es-EC" w:bidi="ar-SA"/>
        </w:rPr>
        <mc:AlternateContent>
          <mc:Choice Requires="wps">
            <w:drawing>
              <wp:anchor distT="0" distB="0" distL="114300" distR="114300" simplePos="0" relativeHeight="251682816" behindDoc="0" locked="0" layoutInCell="1" allowOverlap="1" wp14:anchorId="21DE6032" wp14:editId="6B1D1CBA">
                <wp:simplePos x="0" y="0"/>
                <wp:positionH relativeFrom="column">
                  <wp:posOffset>1871980</wp:posOffset>
                </wp:positionH>
                <wp:positionV relativeFrom="paragraph">
                  <wp:posOffset>2301713</wp:posOffset>
                </wp:positionV>
                <wp:extent cx="3168015" cy="83947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015"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BBF" w:rsidRPr="00C32BBF" w:rsidRDefault="00C32BBF" w:rsidP="00C32BBF">
                            <w:pPr>
                              <w:pStyle w:val="Subttulo"/>
                              <w:spacing w:after="0" w:line="240" w:lineRule="auto"/>
                              <w:jc w:val="center"/>
                              <w:rPr>
                                <w:rFonts w:ascii="Century751 SeBd BT" w:hAnsi="Century751 SeBd BT"/>
                                <w:color w:val="7F7F7F"/>
                                <w:sz w:val="36"/>
                                <w:lang w:val="es-ES"/>
                              </w:rPr>
                            </w:pPr>
                            <w:r w:rsidRPr="00C32BBF">
                              <w:rPr>
                                <w:rFonts w:ascii="Century751 SeBd BT" w:hAnsi="Century751 SeBd BT"/>
                                <w:color w:val="7F7F7F"/>
                                <w:sz w:val="36"/>
                                <w:lang w:val="es-ES"/>
                              </w:rPr>
                              <w:t>ASTRILEG CÍA. LTDA.</w:t>
                            </w:r>
                          </w:p>
                          <w:p w:rsidR="00C32BBF" w:rsidRPr="00C32BBF" w:rsidRDefault="00C32BBF" w:rsidP="00C32BBF">
                            <w:pPr>
                              <w:pStyle w:val="Subttulo"/>
                              <w:spacing w:after="0" w:line="240" w:lineRule="auto"/>
                              <w:jc w:val="center"/>
                              <w:rPr>
                                <w:rFonts w:ascii="Century751 SeBd BT" w:hAnsi="Century751 SeBd BT"/>
                                <w:color w:val="7F7F7F"/>
                                <w:lang w:val="es-ES"/>
                              </w:rPr>
                            </w:pPr>
                            <w:r w:rsidRPr="00C32BBF">
                              <w:rPr>
                                <w:rFonts w:ascii="Century751 SeBd BT" w:hAnsi="Century751 SeBd BT"/>
                                <w:color w:val="7F7F7F"/>
                                <w:lang w:val="es-ES"/>
                              </w:rPr>
                              <w:t>Contadores Públicos Auditores</w:t>
                            </w:r>
                          </w:p>
                          <w:p w:rsidR="00C32BBF" w:rsidRPr="00C32BBF" w:rsidRDefault="00C32BBF" w:rsidP="00C32BBF">
                            <w:pPr>
                              <w:pStyle w:val="Subttulo"/>
                              <w:spacing w:after="0" w:line="240" w:lineRule="auto"/>
                              <w:jc w:val="center"/>
                              <w:rPr>
                                <w:rFonts w:ascii="Century751 SeBd BT" w:hAnsi="Century751 SeBd BT"/>
                                <w:color w:val="7F7F7F"/>
                                <w:sz w:val="8"/>
                                <w:lang w:val="es-ES"/>
                              </w:rPr>
                            </w:pPr>
                          </w:p>
                          <w:p w:rsidR="00C32BBF" w:rsidRPr="00954F2C" w:rsidRDefault="00C32BBF" w:rsidP="00C32BBF">
                            <w:pPr>
                              <w:pStyle w:val="Subttulo"/>
                              <w:spacing w:after="0" w:line="240" w:lineRule="auto"/>
                              <w:jc w:val="center"/>
                              <w:rPr>
                                <w:rFonts w:ascii="Century751 SeBd BT" w:hAnsi="Century751 SeBd BT"/>
                                <w:color w:val="7F7F7F"/>
                                <w:sz w:val="18"/>
                                <w:lang w:val="es-ES"/>
                              </w:rPr>
                            </w:pPr>
                            <w:r w:rsidRPr="00954F2C">
                              <w:rPr>
                                <w:rFonts w:ascii="Century751 SeBd BT" w:hAnsi="Century751 SeBd BT"/>
                                <w:color w:val="7F7F7F"/>
                                <w:sz w:val="18"/>
                                <w:lang w:val="es-ES"/>
                              </w:rPr>
                              <w:t xml:space="preserve">Firma Miembro de </w:t>
                            </w:r>
                          </w:p>
                          <w:p w:rsidR="00C32BBF" w:rsidRPr="002C26F8" w:rsidRDefault="00C32BBF" w:rsidP="00C32BBF">
                            <w:pPr>
                              <w:spacing w:after="0" w:line="240" w:lineRule="auto"/>
                              <w:rPr>
                                <w:lang w:val="es-EC"/>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28" type="#_x0000_t202" style="position:absolute;left:0;text-align:left;margin-left:147.4pt;margin-top:181.25pt;width:249.45pt;height:66.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" filled="f" stroked="f">
                <v:textbox>
                  <w:txbxContent>
                    <w:p w:rsidR="00C32BBF" w:rsidRPr="00C32BBF" w:rsidRDefault="00C32BBF" w:rsidP="00C32BBF">
                      <w:pPr>
                        <w:pStyle w:val="Subtitle"/>
                        <w:spacing w:after="0" w:line="240" w:lineRule="auto"/>
                        <w:jc w:val="center"/>
                        <w:rPr>
                          <w:rFonts w:ascii="Century751 SeBd BT" w:hAnsi="Century751 SeBd BT"/>
                          <w:color w:val="7F7F7F"/>
                          <w:sz w:val="36"/>
                          <w:lang w:val="es-ES"/>
                        </w:rPr>
                      </w:pPr>
                      <w:proofErr w:type="spellStart"/>
                      <w:r w:rsidRPr="00C32BBF">
                        <w:rPr>
                          <w:rFonts w:ascii="Century751 SeBd BT" w:hAnsi="Century751 SeBd BT"/>
                          <w:color w:val="7F7F7F"/>
                          <w:sz w:val="36"/>
                          <w:lang w:val="es-ES"/>
                        </w:rPr>
                        <w:t>ASTRILEG</w:t>
                      </w:r>
                      <w:proofErr w:type="spellEnd"/>
                      <w:r w:rsidRPr="00C32BBF">
                        <w:rPr>
                          <w:rFonts w:ascii="Century751 SeBd BT" w:hAnsi="Century751 SeBd BT"/>
                          <w:color w:val="7F7F7F"/>
                          <w:sz w:val="36"/>
                          <w:lang w:val="es-ES"/>
                        </w:rPr>
                        <w:t xml:space="preserve"> CÍA. LTDA.</w:t>
                      </w:r>
                    </w:p>
                    <w:p w:rsidR="00C32BBF" w:rsidRPr="00C32BBF" w:rsidRDefault="00C32BBF" w:rsidP="00C32BBF">
                      <w:pPr>
                        <w:pStyle w:val="Subtitle"/>
                        <w:spacing w:after="0" w:line="240" w:lineRule="auto"/>
                        <w:jc w:val="center"/>
                        <w:rPr>
                          <w:rFonts w:ascii="Century751 SeBd BT" w:hAnsi="Century751 SeBd BT"/>
                          <w:color w:val="7F7F7F"/>
                          <w:lang w:val="es-ES"/>
                        </w:rPr>
                      </w:pPr>
                      <w:r w:rsidRPr="00C32BBF">
                        <w:rPr>
                          <w:rFonts w:ascii="Century751 SeBd BT" w:hAnsi="Century751 SeBd BT"/>
                          <w:color w:val="7F7F7F"/>
                          <w:lang w:val="es-ES"/>
                        </w:rPr>
                        <w:t>Contadores Públicos Auditores</w:t>
                      </w:r>
                    </w:p>
                    <w:p w:rsidR="00C32BBF" w:rsidRPr="00C32BBF" w:rsidRDefault="00C32BBF" w:rsidP="00C32BBF">
                      <w:pPr>
                        <w:pStyle w:val="Subtitle"/>
                        <w:spacing w:after="0" w:line="240" w:lineRule="auto"/>
                        <w:jc w:val="center"/>
                        <w:rPr>
                          <w:rFonts w:ascii="Century751 SeBd BT" w:hAnsi="Century751 SeBd BT"/>
                          <w:color w:val="7F7F7F"/>
                          <w:sz w:val="8"/>
                          <w:lang w:val="es-ES"/>
                        </w:rPr>
                      </w:pPr>
                    </w:p>
                    <w:p w:rsidR="00C32BBF" w:rsidRPr="00954F2C" w:rsidRDefault="00C32BBF" w:rsidP="00C32BBF">
                      <w:pPr>
                        <w:pStyle w:val="Subtitle"/>
                        <w:spacing w:after="0" w:line="240" w:lineRule="auto"/>
                        <w:jc w:val="center"/>
                        <w:rPr>
                          <w:rFonts w:ascii="Century751 SeBd BT" w:hAnsi="Century751 SeBd BT"/>
                          <w:color w:val="7F7F7F"/>
                          <w:sz w:val="18"/>
                          <w:lang w:val="es-ES"/>
                        </w:rPr>
                      </w:pPr>
                      <w:r w:rsidRPr="00954F2C">
                        <w:rPr>
                          <w:rFonts w:ascii="Century751 SeBd BT" w:hAnsi="Century751 SeBd BT"/>
                          <w:color w:val="7F7F7F"/>
                          <w:sz w:val="18"/>
                          <w:lang w:val="es-ES"/>
                        </w:rPr>
                        <w:t xml:space="preserve">Firma Miembro de </w:t>
                      </w:r>
                    </w:p>
                    <w:p w:rsidR="00C32BBF" w:rsidRPr="002C26F8" w:rsidRDefault="00C32BBF" w:rsidP="00C32BBF">
                      <w:pPr>
                        <w:spacing w:after="0" w:line="240" w:lineRule="auto"/>
                        <w:rPr>
                          <w:lang w:val="es-EC"/>
                        </w:rPr>
                      </w:pPr>
                    </w:p>
                  </w:txbxContent>
                </v:textbox>
              </v:shape>
            </w:pict>
          </mc:Fallback>
        </mc:AlternateContent>
      </w:r>
      <w:r w:rsidRPr="00C32BBF">
        <w:rPr>
          <w:noProof/>
          <w:u w:val="single"/>
          <w:lang w:val="es-EC" w:eastAsia="es-EC" w:bidi="ar-SA"/>
        </w:rPr>
        <w:drawing>
          <wp:anchor distT="0" distB="0" distL="114300" distR="114300" simplePos="0" relativeHeight="251680768" behindDoc="1" locked="0" layoutInCell="1" allowOverlap="1" wp14:anchorId="05710D6C" wp14:editId="5D1CA4C6">
            <wp:simplePos x="0" y="0"/>
            <wp:positionH relativeFrom="column">
              <wp:posOffset>2542540</wp:posOffset>
            </wp:positionH>
            <wp:positionV relativeFrom="paragraph">
              <wp:posOffset>3199130</wp:posOffset>
            </wp:positionV>
            <wp:extent cx="1499235" cy="452755"/>
            <wp:effectExtent l="0" t="0" r="5715" b="4445"/>
            <wp:wrapTight wrapText="bothSides">
              <wp:wrapPolygon edited="0">
                <wp:start x="1921" y="0"/>
                <wp:lineTo x="0" y="4544"/>
                <wp:lineTo x="0" y="13633"/>
                <wp:lineTo x="1098" y="20903"/>
                <wp:lineTo x="1372" y="20903"/>
                <wp:lineTo x="21408" y="20903"/>
                <wp:lineTo x="21408" y="2727"/>
                <wp:lineTo x="18938" y="0"/>
                <wp:lineTo x="1921" y="0"/>
              </wp:wrapPolygon>
            </wp:wrapTight>
            <wp:docPr id="13" name="Picture 13" descr="Princip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cipal Logo"/>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49923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C" w:eastAsia="es-EC" w:bidi="ar-SA"/>
        </w:rPr>
        <mc:AlternateContent>
          <mc:Choice Requires="wps">
            <w:drawing>
              <wp:anchor distT="0" distB="0" distL="114300" distR="114300" simplePos="0" relativeHeight="251683840" behindDoc="0" locked="0" layoutInCell="1" allowOverlap="1" wp14:anchorId="2DEB692C" wp14:editId="3B2E9759">
                <wp:simplePos x="0" y="0"/>
                <wp:positionH relativeFrom="column">
                  <wp:posOffset>8255</wp:posOffset>
                </wp:positionH>
                <wp:positionV relativeFrom="paragraph">
                  <wp:posOffset>1988023</wp:posOffset>
                </wp:positionV>
                <wp:extent cx="6576060" cy="0"/>
                <wp:effectExtent l="57150" t="57150" r="53340" b="95250"/>
                <wp:wrapNone/>
                <wp:docPr id="15" name="Straight Connector 15"/>
                <wp:cNvGraphicFramePr/>
                <a:graphic xmlns:a="http://schemas.openxmlformats.org/drawingml/2006/main">
                  <a:graphicData uri="http://schemas.microsoft.com/office/word/2010/wordprocessingShape">
                    <wps:wsp>
                      <wps:cNvCnPr/>
                      <wps:spPr>
                        <a:xfrm>
                          <a:off x="0" y="0"/>
                          <a:ext cx="6576060" cy="0"/>
                        </a:xfrm>
                        <a:prstGeom prst="line">
                          <a:avLst/>
                        </a:prstGeom>
                        <a:ln>
                          <a:solidFill>
                            <a:srgbClr val="21B1AA"/>
                          </a:solidFill>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line id="Straight Connector 1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65pt,156.55pt" to="518.45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" strokecolor="#21b1aa" strokeweight="2.25pt">
                <v:shadow on="t" color="black" opacity="24903f" origin=",.5" offset="0,.55556mm"/>
              </v:line>
            </w:pict>
          </mc:Fallback>
        </mc:AlternateContent>
      </w:r>
      <w:r w:rsidR="00FE0A40">
        <w:rPr>
          <w:rFonts w:asciiTheme="minorHAnsi" w:hAnsiTheme="minorHAnsi"/>
          <w:i w:val="0"/>
          <w:noProof/>
          <w:color w:val="2F5897" w:themeColor="text2"/>
          <w:sz w:val="22"/>
          <w:lang w:val="es-EC" w:eastAsia="es-EC" w:bidi="ar-SA"/>
        </w:rPr>
        <mc:AlternateContent>
          <mc:Choice Requires="wps">
            <w:drawing>
              <wp:anchor distT="182880" distB="0" distL="114300" distR="114300" simplePos="0" relativeHeight="251665408" behindDoc="1" locked="0" layoutInCell="1" allowOverlap="1" wp14:anchorId="4EDAE7B0" wp14:editId="3EF721B4">
                <wp:simplePos x="0" y="0"/>
                <wp:positionH relativeFrom="margin">
                  <wp:align>center</wp:align>
                </wp:positionH>
                <wp:positionV relativeFrom="margin">
                  <wp:align>bottom</wp:align>
                </wp:positionV>
                <wp:extent cx="6583680" cy="3442970"/>
                <wp:effectExtent l="0" t="0" r="7620" b="5080"/>
                <wp:wrapSquare wrapText="bothSides"/>
                <wp:docPr id="4" name="Text Box 4"/>
                <wp:cNvGraphicFramePr/>
                <a:graphic xmlns:a="http://schemas.openxmlformats.org/drawingml/2006/main">
                  <a:graphicData uri="http://schemas.microsoft.com/office/word/2010/wordprocessingShape">
                    <wps:wsp>
                      <wps:cNvSpPr txBox="1"/>
                      <wps:spPr>
                        <a:xfrm>
                          <a:off x="0" y="0"/>
                          <a:ext cx="6583680" cy="3443399"/>
                        </a:xfrm>
                        <a:prstGeom prst="rect">
                          <a:avLst/>
                        </a:prstGeom>
                        <a:gradFill>
                          <a:gsLst>
                            <a:gs pos="18000">
                              <a:schemeClr val="bg1">
                                <a:alpha val="56000"/>
                                <a:lumMod val="100000"/>
                              </a:schemeClr>
                            </a:gs>
                            <a:gs pos="40000">
                              <a:schemeClr val="bg1">
                                <a:alpha val="56000"/>
                                <a:lumMod val="100000"/>
                              </a:schemeClr>
                            </a:gs>
                            <a:gs pos="68000">
                              <a:srgbClr val="21B1AA">
                                <a:lumMod val="74000"/>
                                <a:alpha val="63000"/>
                              </a:srgbClr>
                            </a:gs>
                            <a:gs pos="82000">
                              <a:srgbClr val="13635F">
                                <a:alpha val="64000"/>
                              </a:srgbClr>
                            </a:gs>
                            <a:gs pos="93000">
                              <a:srgbClr val="0D4340">
                                <a:alpha val="71000"/>
                              </a:srgbClr>
                            </a:gs>
                          </a:gsLst>
                        </a:gradFill>
                        <a:ln w="6350">
                          <a:noFill/>
                        </a:ln>
                        <a:effectLst/>
                      </wps:spPr>
                      <wps:style>
                        <a:lnRef idx="0">
                          <a:schemeClr val="accent1"/>
                        </a:lnRef>
                        <a:fillRef idx="1002">
                          <a:schemeClr val="lt2"/>
                        </a:fillRef>
                        <a:effectRef idx="0">
                          <a:schemeClr val="accent1"/>
                        </a:effectRef>
                        <a:fontRef idx="minor">
                          <a:schemeClr val="dk1"/>
                        </a:fontRef>
                      </wps:style>
                      <wps:txbx>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954F2C">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5D25FE" w:rsidRPr="00C210B7" w:rsidRDefault="005D25FE" w:rsidP="005D25FE">
                                  <w:pPr>
                                    <w:spacing w:after="0" w:line="240" w:lineRule="auto"/>
                                    <w:jc w:val="center"/>
                                    <w:rPr>
                                      <w:rFonts w:asciiTheme="majorHAnsi" w:eastAsiaTheme="majorEastAsia" w:hAnsiTheme="majorHAnsi" w:cstheme="majorBidi"/>
                                      <w:b/>
                                      <w:i/>
                                      <w:iCs/>
                                      <w:color w:val="2F5897" w:themeColor="text2"/>
                                      <w:sz w:val="24"/>
                                      <w:szCs w:val="24"/>
                                      <w:lang w:val="es-ES"/>
                                    </w:rPr>
                                  </w:pPr>
                                  <w:r w:rsidRPr="00C210B7">
                                    <w:rPr>
                                      <w:rFonts w:asciiTheme="majorHAnsi" w:eastAsiaTheme="majorEastAsia" w:hAnsiTheme="majorHAnsi" w:cstheme="majorBidi"/>
                                      <w:b/>
                                      <w:i/>
                                      <w:iCs/>
                                      <w:color w:val="2F5897" w:themeColor="text2"/>
                                      <w:sz w:val="24"/>
                                      <w:szCs w:val="24"/>
                                      <w:lang w:val="es-EC"/>
                                    </w:rPr>
                                    <w:t>Nuestra</w:t>
                                  </w:r>
                                  <w:r w:rsidRPr="00C210B7">
                                    <w:rPr>
                                      <w:rFonts w:asciiTheme="majorHAnsi" w:eastAsiaTheme="majorEastAsia" w:hAnsiTheme="majorHAnsi" w:cstheme="majorBidi"/>
                                      <w:b/>
                                      <w:i/>
                                      <w:iCs/>
                                      <w:color w:val="2F5897" w:themeColor="text2"/>
                                      <w:sz w:val="24"/>
                                      <w:szCs w:val="24"/>
                                      <w:lang w:val="es-ES"/>
                                    </w:rPr>
                                    <w:t xml:space="preserve"> Misión: </w:t>
                                  </w:r>
                                </w:p>
                                <w:p w:rsidR="005D25FE" w:rsidRPr="00954F2C" w:rsidRDefault="005D25FE" w:rsidP="005D25FE">
                                  <w:pPr>
                                    <w:spacing w:after="0" w:line="240" w:lineRule="auto"/>
                                    <w:jc w:val="center"/>
                                    <w:rPr>
                                      <w:rFonts w:asciiTheme="majorHAnsi" w:eastAsiaTheme="majorEastAsia" w:hAnsiTheme="majorHAnsi" w:cstheme="majorBidi"/>
                                      <w:i/>
                                      <w:iCs/>
                                      <w:color w:val="2F5897" w:themeColor="text2"/>
                                      <w:sz w:val="10"/>
                                      <w:szCs w:val="24"/>
                                      <w:lang w:val="es-ES"/>
                                    </w:rPr>
                                  </w:pPr>
                                </w:p>
                                <w:p w:rsidR="007870A9" w:rsidRPr="005D25FE" w:rsidRDefault="005D25FE" w:rsidP="005D25FE">
                                  <w:pPr>
                                    <w:spacing w:after="0" w:line="240" w:lineRule="auto"/>
                                    <w:jc w:val="center"/>
                                    <w:rPr>
                                      <w:rFonts w:asciiTheme="majorHAnsi" w:eastAsiaTheme="majorEastAsia" w:hAnsiTheme="majorHAnsi" w:cstheme="majorBidi"/>
                                      <w:i/>
                                      <w:iCs/>
                                      <w:sz w:val="24"/>
                                      <w:szCs w:val="24"/>
                                      <w:lang w:val="es-ES"/>
                                    </w:rPr>
                                  </w:pPr>
                                  <w:r w:rsidRPr="005D25FE">
                                    <w:rPr>
                                      <w:rFonts w:asciiTheme="majorHAnsi" w:eastAsiaTheme="majorEastAsia" w:hAnsiTheme="majorHAnsi" w:cstheme="majorBidi"/>
                                      <w:i/>
                                      <w:iCs/>
                                      <w:color w:val="2F5897" w:themeColor="text2"/>
                                      <w:sz w:val="24"/>
                                      <w:szCs w:val="24"/>
                                      <w:lang w:val="es-ES"/>
                                    </w:rPr>
                                    <w:t>“Proporcionar servicios de alta calidad en auditoría, contabilidad, impuestos y asesoría gerencial con profesionalismo y compromiso”</w:t>
                                  </w:r>
                                </w:p>
                              </w:tc>
                              <w:tc>
                                <w:tcPr>
                                  <w:tcW w:w="500" w:type="pct"/>
                                </w:tcPr>
                                <w:p w:rsidR="007870A9" w:rsidRPr="005D25FE" w:rsidRDefault="007870A9">
                                  <w:pPr>
                                    <w:spacing w:after="0" w:line="240" w:lineRule="auto"/>
                                    <w:jc w:val="center"/>
                                    <w:rPr>
                                      <w:rFonts w:asciiTheme="majorHAnsi" w:eastAsiaTheme="majorEastAsia" w:hAnsiTheme="majorHAnsi" w:cstheme="majorBidi"/>
                                      <w:i/>
                                      <w:iCs/>
                                      <w:sz w:val="24"/>
                                      <w:szCs w:val="24"/>
                                      <w:lang w:val="es-ES"/>
                                    </w:rPr>
                                  </w:pPr>
                                </w:p>
                              </w:tc>
                            </w:tr>
                          </w:tbl>
                          <w:p w:rsidR="007870A9" w:rsidRPr="005D25FE" w:rsidRDefault="007870A9">
                            <w:pPr>
                              <w:jc w:val="center"/>
                              <w:rPr>
                                <w:rFonts w:asciiTheme="majorHAnsi" w:eastAsiaTheme="majorEastAsia" w:hAnsiTheme="majorHAnsi" w:cstheme="majorBidi"/>
                                <w:i/>
                                <w:iCs/>
                                <w:sz w:val="24"/>
                                <w:szCs w:val="24"/>
                                <w:lang w:val="es-ES"/>
                              </w:rPr>
                            </w:pPr>
                          </w:p>
                        </w:txbxContent>
                      </wps:txbx>
                      <wps:bodyPr rot="0" spcFirstLastPara="0" vertOverflow="overflow" horzOverflow="overflow" vert="horz" wrap="square" lIns="0" tIns="182880" rIns="0" bIns="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left:0;text-align:left;margin-left:0;margin-top:0;width:518.4pt;height:271.1pt;z-index:-251651072;visibility:visible;mso-wrap-style:square;mso-width-percent:1000;mso-height-percent:0;mso-wrap-distance-left:9pt;mso-wrap-distance-top:14.4pt;mso-wrap-distance-right:9pt;mso-wrap-distance-bottom:0;mso-position-horizontal:center;mso-position-horizontal-relative:margin;mso-position-vertical:bottom;mso-position-vertical-relative:margin;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" fillcolor="white [3212]" stroked="f" strokeweight=".5pt">
                <v:fill opacity="46530f" color2="#0d4340" o:opacity2="36700f" rotate="t" focusposition=".5,.5" focussize="" colors="0 white;11796f white;26214f white;44564f #18837e;53740f #13635f" focus="100%" type="gradientRadial"/>
                <v:textbox inset="0,14.4pt,0,0">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954F2C">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5D25FE" w:rsidRPr="00C210B7" w:rsidRDefault="005D25FE" w:rsidP="005D25FE">
                            <w:pPr>
                              <w:spacing w:after="0" w:line="240" w:lineRule="auto"/>
                              <w:jc w:val="center"/>
                              <w:rPr>
                                <w:rFonts w:asciiTheme="majorHAnsi" w:eastAsiaTheme="majorEastAsia" w:hAnsiTheme="majorHAnsi" w:cstheme="majorBidi"/>
                                <w:b/>
                                <w:i/>
                                <w:iCs/>
                                <w:color w:val="2F5897" w:themeColor="text2"/>
                                <w:sz w:val="24"/>
                                <w:szCs w:val="24"/>
                                <w:lang w:val="es-ES"/>
                              </w:rPr>
                            </w:pPr>
                            <w:r w:rsidRPr="00C210B7">
                              <w:rPr>
                                <w:rFonts w:asciiTheme="majorHAnsi" w:eastAsiaTheme="majorEastAsia" w:hAnsiTheme="majorHAnsi" w:cstheme="majorBidi"/>
                                <w:b/>
                                <w:i/>
                                <w:iCs/>
                                <w:color w:val="2F5897" w:themeColor="text2"/>
                                <w:sz w:val="24"/>
                                <w:szCs w:val="24"/>
                                <w:lang w:val="es-EC"/>
                              </w:rPr>
                              <w:t>Nuestra</w:t>
                            </w:r>
                            <w:r w:rsidRPr="00C210B7">
                              <w:rPr>
                                <w:rFonts w:asciiTheme="majorHAnsi" w:eastAsiaTheme="majorEastAsia" w:hAnsiTheme="majorHAnsi" w:cstheme="majorBidi"/>
                                <w:b/>
                                <w:i/>
                                <w:iCs/>
                                <w:color w:val="2F5897" w:themeColor="text2"/>
                                <w:sz w:val="24"/>
                                <w:szCs w:val="24"/>
                                <w:lang w:val="es-ES"/>
                              </w:rPr>
                              <w:t xml:space="preserve"> Misión: </w:t>
                            </w:r>
                          </w:p>
                          <w:p w:rsidR="005D25FE" w:rsidRPr="00954F2C" w:rsidRDefault="005D25FE" w:rsidP="005D25FE">
                            <w:pPr>
                              <w:spacing w:after="0" w:line="240" w:lineRule="auto"/>
                              <w:jc w:val="center"/>
                              <w:rPr>
                                <w:rFonts w:asciiTheme="majorHAnsi" w:eastAsiaTheme="majorEastAsia" w:hAnsiTheme="majorHAnsi" w:cstheme="majorBidi"/>
                                <w:i/>
                                <w:iCs/>
                                <w:color w:val="2F5897" w:themeColor="text2"/>
                                <w:sz w:val="10"/>
                                <w:szCs w:val="24"/>
                                <w:lang w:val="es-ES"/>
                              </w:rPr>
                            </w:pPr>
                          </w:p>
                          <w:p w:rsidR="007870A9" w:rsidRPr="005D25FE" w:rsidRDefault="005D25FE" w:rsidP="005D25FE">
                            <w:pPr>
                              <w:spacing w:after="0" w:line="240" w:lineRule="auto"/>
                              <w:jc w:val="center"/>
                              <w:rPr>
                                <w:rFonts w:asciiTheme="majorHAnsi" w:eastAsiaTheme="majorEastAsia" w:hAnsiTheme="majorHAnsi" w:cstheme="majorBidi"/>
                                <w:i/>
                                <w:iCs/>
                                <w:sz w:val="24"/>
                                <w:szCs w:val="24"/>
                                <w:lang w:val="es-ES"/>
                              </w:rPr>
                            </w:pPr>
                            <w:r w:rsidRPr="005D25FE">
                              <w:rPr>
                                <w:rFonts w:asciiTheme="majorHAnsi" w:eastAsiaTheme="majorEastAsia" w:hAnsiTheme="majorHAnsi" w:cstheme="majorBidi"/>
                                <w:i/>
                                <w:iCs/>
                                <w:color w:val="2F5897" w:themeColor="text2"/>
                                <w:sz w:val="24"/>
                                <w:szCs w:val="24"/>
                                <w:lang w:val="es-ES"/>
                              </w:rPr>
                              <w:t>“Proporcionar servicios de alta calidad en auditoría, contabilidad, impuestos y asesoría gerencial con profesionalismo y compromiso”</w:t>
                            </w:r>
                          </w:p>
                        </w:tc>
                        <w:tc>
                          <w:tcPr>
                            <w:tcW w:w="500" w:type="pct"/>
                          </w:tcPr>
                          <w:p w:rsidR="007870A9" w:rsidRPr="005D25FE" w:rsidRDefault="007870A9">
                            <w:pPr>
                              <w:spacing w:after="0" w:line="240" w:lineRule="auto"/>
                              <w:jc w:val="center"/>
                              <w:rPr>
                                <w:rFonts w:asciiTheme="majorHAnsi" w:eastAsiaTheme="majorEastAsia" w:hAnsiTheme="majorHAnsi" w:cstheme="majorBidi"/>
                                <w:i/>
                                <w:iCs/>
                                <w:sz w:val="24"/>
                                <w:szCs w:val="24"/>
                                <w:lang w:val="es-ES"/>
                              </w:rPr>
                            </w:pPr>
                          </w:p>
                        </w:tc>
                      </w:tr>
                    </w:tbl>
                    <w:p w:rsidR="007870A9" w:rsidRPr="005D25FE" w:rsidRDefault="007870A9">
                      <w:pPr>
                        <w:jc w:val="center"/>
                        <w:rPr>
                          <w:rFonts w:asciiTheme="majorHAnsi" w:eastAsiaTheme="majorEastAsia" w:hAnsiTheme="majorHAnsi" w:cstheme="majorBidi"/>
                          <w:i/>
                          <w:iCs/>
                          <w:sz w:val="24"/>
                          <w:szCs w:val="24"/>
                          <w:lang w:val="es-ES"/>
                        </w:rPr>
                      </w:pPr>
                    </w:p>
                  </w:txbxContent>
                </v:textbox>
                <w10:wrap type="square" anchorx="margin" anchory="margin"/>
              </v:shape>
            </w:pict>
          </mc:Fallback>
        </mc:AlternateContent>
      </w:r>
    </w:p>
    <w:sectPr w:rsidR="007870A9">
      <w:type w:val="continuous"/>
      <w:pgSz w:w="12240" w:h="15840"/>
      <w:pgMar w:top="936" w:right="936" w:bottom="936" w:left="936"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HYGothic-Medium">
    <w:altName w:val="HY중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entury751 SeBd BT">
    <w:altName w:val="Times New Roman"/>
    <w:charset w:val="00"/>
    <w:family w:val="auto"/>
    <w:pitch w:val="variable"/>
    <w:sig w:usb0="00000001" w:usb1="1000204A"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9.2pt;height:9.2pt" o:bullet="t">
        <v:imagedata r:id="rId1" o:title="BD15059_"/>
      </v:shape>
    </w:pict>
  </w:numPicBullet>
  <w:abstractNum w:abstractNumId="0">
    <w:nsid w:val="540B65AA"/>
    <w:multiLevelType w:val="hybridMultilevel"/>
    <w:tmpl w:val="59D4AC20"/>
    <w:lvl w:ilvl="0" w:tplc="6EDA0EC2">
      <w:start w:val="1"/>
      <w:numFmt w:val="bullet"/>
      <w:lvlText w:val=""/>
      <w:lvlPicBulletId w:val="0"/>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DateAndTime/>
  <w:proofState w:spelling="clean" w:grammar="clean"/>
  <w:attachedTemplate r:id="rId1"/>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1A9"/>
    <w:rsid w:val="00165C68"/>
    <w:rsid w:val="002671A9"/>
    <w:rsid w:val="002A7BD6"/>
    <w:rsid w:val="00363E28"/>
    <w:rsid w:val="004127AF"/>
    <w:rsid w:val="00491E34"/>
    <w:rsid w:val="004B343A"/>
    <w:rsid w:val="005D25FE"/>
    <w:rsid w:val="006455FD"/>
    <w:rsid w:val="007870A9"/>
    <w:rsid w:val="007E04AF"/>
    <w:rsid w:val="00850E2F"/>
    <w:rsid w:val="00954F2C"/>
    <w:rsid w:val="00B01908"/>
    <w:rsid w:val="00B40C41"/>
    <w:rsid w:val="00C11019"/>
    <w:rsid w:val="00C210B7"/>
    <w:rsid w:val="00C32BBF"/>
    <w:rsid w:val="00C527C1"/>
    <w:rsid w:val="00D122AA"/>
    <w:rsid w:val="00E5020E"/>
    <w:rsid w:val="00E64237"/>
    <w:rsid w:val="00E8609B"/>
    <w:rsid w:val="00F20655"/>
    <w:rsid w:val="00FE0A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www.nexia.com/assets/images/1_Home/1_Masthead/nexia-logo-retina.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5.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liana\AppData\Roaming\Microsoft\Templates\ExecutiveNewsletter.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6C613A5-8D02-4CA4-90EF-A22EA37BE049}">
  <ds:schemaRefs>
    <ds:schemaRef ds:uri="http://schemas.microsoft.com/sharepoint/v3/contenttype/forms"/>
  </ds:schemaRefs>
</ds:datastoreItem>
</file>

<file path=customXml/itemProps2.xml><?xml version="1.0" encoding="utf-8"?>
<ds:datastoreItem xmlns:ds="http://schemas.openxmlformats.org/officeDocument/2006/customXml" ds:itemID="{E86DA174-375E-436F-928D-8C81C870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ExecutiveNewsletter</Template>
  <TotalTime>0</TotalTime>
  <Pages>5</Pages>
  <Words>3832</Words>
  <Characters>21080</Characters>
  <Application>Microsoft Office Word</Application>
  <DocSecurity>0</DocSecurity>
  <Lines>175</Lines>
  <Paragraphs>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2016-02-22T19:37:00Z</cp:lastPrinted>
  <dcterms:created xsi:type="dcterms:W3CDTF">2016-03-21T16:08:00Z</dcterms:created>
  <dcterms:modified xsi:type="dcterms:W3CDTF">2016-03-21T16:08:00Z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TC017730579991</vt:lpwstr>
  </property>
</Properties>
</file>